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776567">
      <w:pPr>
        <w:rPr>
          <w:sz w:val="28"/>
          <w:szCs w:val="28"/>
        </w:rPr>
      </w:pPr>
      <w:r>
        <w:rPr>
          <w:sz w:val="28"/>
          <w:szCs w:val="28"/>
          <w:u w:val="single"/>
        </w:rPr>
        <w:t>31.01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E7BD5"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108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776567" w:rsidRPr="00776567" w:rsidRDefault="00776567" w:rsidP="00776567">
      <w:pPr>
        <w:adjustRightInd w:val="0"/>
        <w:jc w:val="center"/>
        <w:rPr>
          <w:b/>
          <w:bCs/>
          <w:sz w:val="28"/>
          <w:szCs w:val="28"/>
        </w:rPr>
      </w:pPr>
      <w:r w:rsidRPr="00776567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76567" w:rsidRPr="00776567" w:rsidRDefault="00776567" w:rsidP="00776567">
      <w:pPr>
        <w:adjustRightInd w:val="0"/>
        <w:jc w:val="center"/>
        <w:rPr>
          <w:b/>
          <w:bCs/>
          <w:sz w:val="28"/>
          <w:szCs w:val="28"/>
        </w:rPr>
      </w:pPr>
      <w:r w:rsidRPr="00776567">
        <w:rPr>
          <w:b/>
          <w:bCs/>
          <w:sz w:val="28"/>
          <w:szCs w:val="28"/>
        </w:rPr>
        <w:t>Североуральского городского округа от 01.10.2015 № 1631</w:t>
      </w:r>
    </w:p>
    <w:p w:rsidR="00776567" w:rsidRPr="00776567" w:rsidRDefault="00776567" w:rsidP="00776567">
      <w:pPr>
        <w:adjustRightInd w:val="0"/>
        <w:jc w:val="center"/>
        <w:rPr>
          <w:b/>
          <w:bCs/>
          <w:sz w:val="28"/>
          <w:szCs w:val="28"/>
        </w:rPr>
      </w:pPr>
      <w:r w:rsidRPr="00776567">
        <w:rPr>
          <w:b/>
          <w:bCs/>
          <w:sz w:val="28"/>
          <w:szCs w:val="28"/>
        </w:rPr>
        <w:t xml:space="preserve"> «Об утверждении Положения об оплате труда работников </w:t>
      </w:r>
    </w:p>
    <w:p w:rsidR="00776567" w:rsidRPr="00776567" w:rsidRDefault="00776567" w:rsidP="00776567">
      <w:pPr>
        <w:adjustRightInd w:val="0"/>
        <w:jc w:val="center"/>
        <w:rPr>
          <w:b/>
          <w:bCs/>
          <w:sz w:val="28"/>
          <w:szCs w:val="28"/>
        </w:rPr>
      </w:pPr>
      <w:r w:rsidRPr="00776567">
        <w:rPr>
          <w:b/>
          <w:bCs/>
          <w:sz w:val="28"/>
          <w:szCs w:val="28"/>
        </w:rPr>
        <w:t>муниципального казенного учреждения «Центр муниципальных расчетов»</w:t>
      </w:r>
    </w:p>
    <w:p w:rsidR="00776567" w:rsidRPr="00776567" w:rsidRDefault="00776567" w:rsidP="00776567">
      <w:pPr>
        <w:adjustRightInd w:val="0"/>
        <w:jc w:val="center"/>
        <w:rPr>
          <w:b/>
          <w:bCs/>
          <w:sz w:val="28"/>
          <w:szCs w:val="28"/>
        </w:rPr>
      </w:pPr>
    </w:p>
    <w:p w:rsidR="00776567" w:rsidRPr="00776567" w:rsidRDefault="00776567" w:rsidP="00776567">
      <w:pPr>
        <w:adjustRightInd w:val="0"/>
        <w:ind w:firstLine="709"/>
        <w:jc w:val="both"/>
        <w:rPr>
          <w:sz w:val="28"/>
          <w:szCs w:val="28"/>
        </w:rPr>
      </w:pPr>
      <w:bookmarkStart w:id="0" w:name="OLE_LINK2"/>
      <w:proofErr w:type="gramStart"/>
      <w:r w:rsidRPr="00776567">
        <w:rPr>
          <w:sz w:val="28"/>
          <w:szCs w:val="28"/>
        </w:rPr>
        <w:t>Руководствуясь Трудовым кодексом Российской Федерации, Федеральным законом от 06 октября 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776567">
        <w:rPr>
          <w:sz w:val="28"/>
          <w:szCs w:val="28"/>
          <w:lang w:val="x-none"/>
        </w:rPr>
        <w:t>постановлени</w:t>
      </w:r>
      <w:r w:rsidRPr="00776567">
        <w:rPr>
          <w:sz w:val="28"/>
          <w:szCs w:val="28"/>
        </w:rPr>
        <w:t>ем</w:t>
      </w:r>
      <w:r w:rsidRPr="00776567">
        <w:rPr>
          <w:sz w:val="28"/>
          <w:szCs w:val="28"/>
          <w:lang w:val="x-none"/>
        </w:rPr>
        <w:t xml:space="preserve"> Администрации С</w:t>
      </w:r>
      <w:r w:rsidRPr="00776567">
        <w:rPr>
          <w:sz w:val="28"/>
          <w:szCs w:val="28"/>
        </w:rPr>
        <w:t>евероуральского городского округа</w:t>
      </w:r>
      <w:r w:rsidRPr="00776567">
        <w:rPr>
          <w:sz w:val="28"/>
          <w:szCs w:val="28"/>
          <w:lang w:val="x-none"/>
        </w:rPr>
        <w:t xml:space="preserve"> от 29.12.</w:t>
      </w:r>
      <w:r>
        <w:rPr>
          <w:sz w:val="28"/>
          <w:szCs w:val="28"/>
        </w:rPr>
        <w:t>2017</w:t>
      </w:r>
      <w:r w:rsidRPr="00776567">
        <w:rPr>
          <w:sz w:val="28"/>
          <w:szCs w:val="28"/>
          <w:lang w:val="x-none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1454 </w:t>
      </w:r>
      <w:r>
        <w:rPr>
          <w:sz w:val="28"/>
          <w:szCs w:val="28"/>
        </w:rPr>
        <w:t>«</w:t>
      </w:r>
      <w:r w:rsidRPr="00776567">
        <w:rPr>
          <w:sz w:val="28"/>
          <w:szCs w:val="28"/>
          <w:lang w:val="x-none"/>
        </w:rPr>
        <w:t>О прив</w:t>
      </w:r>
      <w:r>
        <w:rPr>
          <w:sz w:val="28"/>
          <w:szCs w:val="28"/>
          <w:lang w:val="x-none"/>
        </w:rPr>
        <w:t>едении</w:t>
      </w:r>
      <w:r w:rsidRPr="00776567">
        <w:rPr>
          <w:sz w:val="28"/>
          <w:szCs w:val="28"/>
          <w:lang w:val="x-none"/>
        </w:rPr>
        <w:t xml:space="preserve"> размеров должностных окладов и ежемесячной надбавки к должностному окладу за классный чин муниципальных служащих органов местного с</w:t>
      </w:r>
      <w:r>
        <w:rPr>
          <w:sz w:val="28"/>
          <w:szCs w:val="28"/>
          <w:lang w:val="x-none"/>
        </w:rPr>
        <w:t xml:space="preserve">амоуправления в соответствие с </w:t>
      </w:r>
      <w:r w:rsidRPr="00776567">
        <w:rPr>
          <w:sz w:val="28"/>
          <w:szCs w:val="28"/>
          <w:lang w:val="x-none"/>
        </w:rPr>
        <w:t>решением</w:t>
      </w:r>
      <w:r w:rsidRPr="00776567">
        <w:rPr>
          <w:sz w:val="28"/>
          <w:szCs w:val="28"/>
          <w:lang w:val="x-none"/>
        </w:rPr>
        <w:t xml:space="preserve"> Думы Североуральского городского округа от 27.12.2017 </w:t>
      </w:r>
      <w:r>
        <w:rPr>
          <w:sz w:val="28"/>
          <w:szCs w:val="28"/>
          <w:lang w:val="x-none"/>
        </w:rPr>
        <w:t>№ 42</w:t>
      </w:r>
      <w:proofErr w:type="gramEnd"/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«</w:t>
      </w:r>
      <w:r w:rsidRPr="00776567">
        <w:rPr>
          <w:sz w:val="28"/>
          <w:szCs w:val="28"/>
          <w:lang w:val="x-none"/>
        </w:rPr>
        <w:t>Об утверждении Положения об оплате труда выборных должностных лиц  местного самоуправления 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служащих, лиц, исполняющ</w:t>
      </w:r>
      <w:r>
        <w:rPr>
          <w:sz w:val="28"/>
          <w:szCs w:val="28"/>
          <w:lang w:val="x-none"/>
        </w:rPr>
        <w:t xml:space="preserve">их обязанности по техническому </w:t>
      </w:r>
      <w:r w:rsidRPr="00776567">
        <w:rPr>
          <w:sz w:val="28"/>
          <w:szCs w:val="28"/>
          <w:lang w:val="x-none"/>
        </w:rPr>
        <w:t>обеспечению деятельности органов местного самоуправления Севе</w:t>
      </w:r>
      <w:r>
        <w:rPr>
          <w:sz w:val="28"/>
          <w:szCs w:val="28"/>
          <w:lang w:val="x-none"/>
        </w:rPr>
        <w:t>роуральского городского округа</w:t>
      </w:r>
      <w:r>
        <w:rPr>
          <w:sz w:val="28"/>
          <w:szCs w:val="28"/>
        </w:rPr>
        <w:t>»</w:t>
      </w:r>
      <w:r w:rsidRPr="00776567">
        <w:rPr>
          <w:sz w:val="28"/>
          <w:szCs w:val="28"/>
        </w:rPr>
        <w:t>, Администрация Североуральского городского округа</w:t>
      </w:r>
      <w:bookmarkEnd w:id="0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776567" w:rsidRPr="00776567" w:rsidRDefault="00776567" w:rsidP="00776567">
      <w:pPr>
        <w:adjustRightInd w:val="0"/>
        <w:ind w:firstLine="709"/>
        <w:jc w:val="both"/>
        <w:rPr>
          <w:bCs/>
          <w:sz w:val="28"/>
          <w:szCs w:val="28"/>
        </w:rPr>
      </w:pPr>
      <w:r w:rsidRPr="00776567">
        <w:rPr>
          <w:bCs/>
          <w:sz w:val="28"/>
          <w:szCs w:val="28"/>
        </w:rPr>
        <w:t>1. Внести в Положение об оплате труда работников муниципального казенного учреждения «Центр муниципальных расчетов», утвержденное постановлением Администрации Североуральского городского округа от 01.10.2015 № 1631, с изменениями, внесенными постановлением Администрации Североуральского городского округа от 13.12.2017 № 1352</w:t>
      </w:r>
      <w:r>
        <w:rPr>
          <w:bCs/>
          <w:sz w:val="28"/>
          <w:szCs w:val="28"/>
        </w:rPr>
        <w:t>,</w:t>
      </w:r>
      <w:r w:rsidRPr="00776567">
        <w:rPr>
          <w:bCs/>
          <w:sz w:val="28"/>
          <w:szCs w:val="28"/>
        </w:rPr>
        <w:t xml:space="preserve"> следующие изменения:</w:t>
      </w:r>
    </w:p>
    <w:p w:rsidR="00776567" w:rsidRPr="00776567" w:rsidRDefault="00776567" w:rsidP="00776567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776567">
        <w:rPr>
          <w:sz w:val="28"/>
          <w:szCs w:val="28"/>
          <w:lang w:eastAsia="ar-SA"/>
        </w:rPr>
        <w:t>1) пункт 2.2. изложить в следующей редакции:</w:t>
      </w:r>
    </w:p>
    <w:p w:rsidR="00776567" w:rsidRPr="00776567" w:rsidRDefault="00776567" w:rsidP="00776567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776567">
        <w:rPr>
          <w:sz w:val="28"/>
          <w:szCs w:val="28"/>
          <w:lang w:eastAsia="ar-SA"/>
        </w:rPr>
        <w:t>«2.2. Должностные оклады руководителей и специалистов устанавливаются в соответствии с перечнем должностей и размеров должностных окладов в следующих размерах: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144"/>
        <w:gridCol w:w="5027"/>
      </w:tblGrid>
      <w:tr w:rsidR="00776567" w:rsidRPr="00776567" w:rsidTr="00776567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Размер должностного оклада (в рублях)</w:t>
            </w:r>
          </w:p>
        </w:tc>
      </w:tr>
      <w:tr w:rsidR="00776567" w:rsidRPr="00776567" w:rsidTr="00776567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Руководители: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7" w:rsidRPr="00776567" w:rsidRDefault="00776567" w:rsidP="00776567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76567" w:rsidRPr="00776567" w:rsidTr="00776567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Руководитель (директор)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15060</w:t>
            </w:r>
          </w:p>
        </w:tc>
      </w:tr>
      <w:tr w:rsidR="00776567" w:rsidRPr="00776567" w:rsidTr="00776567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12550</w:t>
            </w:r>
          </w:p>
        </w:tc>
      </w:tr>
      <w:tr w:rsidR="00776567" w:rsidRPr="00776567" w:rsidTr="00776567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Специалисты: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6567" w:rsidRPr="00776567" w:rsidTr="00776567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Руководитель группы учета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10340</w:t>
            </w:r>
          </w:p>
        </w:tc>
      </w:tr>
      <w:tr w:rsidR="00776567" w:rsidRPr="00776567" w:rsidTr="00776567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lastRenderedPageBreak/>
              <w:t>Программист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9600</w:t>
            </w:r>
          </w:p>
        </w:tc>
      </w:tr>
      <w:tr w:rsidR="00776567" w:rsidRPr="00776567" w:rsidTr="00776567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Ведущие: бухгалтер, экономист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9600</w:t>
            </w:r>
          </w:p>
        </w:tc>
      </w:tr>
      <w:tr w:rsidR="00776567" w:rsidRPr="00776567" w:rsidTr="00776567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Бухгалтер, экономист 1 категории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8126</w:t>
            </w:r>
          </w:p>
        </w:tc>
      </w:tr>
    </w:tbl>
    <w:p w:rsidR="00776567" w:rsidRPr="00776567" w:rsidRDefault="00776567" w:rsidP="00776567">
      <w:pPr>
        <w:adjustRightInd w:val="0"/>
        <w:jc w:val="both"/>
        <w:rPr>
          <w:bCs/>
          <w:sz w:val="24"/>
          <w:szCs w:val="24"/>
        </w:rPr>
      </w:pPr>
      <w:r w:rsidRPr="0077656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«</w:t>
      </w:r>
    </w:p>
    <w:p w:rsidR="00776567" w:rsidRPr="00776567" w:rsidRDefault="00776567" w:rsidP="00776567">
      <w:pPr>
        <w:suppressAutoHyphens/>
        <w:autoSpaceDE/>
        <w:autoSpaceDN/>
        <w:ind w:firstLine="709"/>
        <w:jc w:val="both"/>
        <w:rPr>
          <w:bCs/>
          <w:sz w:val="28"/>
          <w:szCs w:val="28"/>
        </w:rPr>
      </w:pPr>
      <w:r w:rsidRPr="00776567">
        <w:rPr>
          <w:bCs/>
          <w:sz w:val="28"/>
          <w:szCs w:val="28"/>
        </w:rPr>
        <w:t>2) пункт 3.2. изложить в следующей редакции:</w:t>
      </w:r>
    </w:p>
    <w:p w:rsidR="00776567" w:rsidRPr="00776567" w:rsidRDefault="00776567" w:rsidP="00776567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776567">
        <w:rPr>
          <w:sz w:val="28"/>
          <w:szCs w:val="28"/>
          <w:lang w:eastAsia="ar-SA"/>
        </w:rPr>
        <w:t>«3.2. Должностные оклады работников, обеспечивающих техническое обеспечение, устанавливаются штатным расписанием в следующих размерах:</w:t>
      </w:r>
    </w:p>
    <w:p w:rsidR="00776567" w:rsidRPr="00776567" w:rsidRDefault="00776567" w:rsidP="00776567">
      <w:pPr>
        <w:suppressAutoHyphens/>
        <w:autoSpaceDE/>
        <w:autoSpaceDN/>
        <w:ind w:left="225"/>
        <w:jc w:val="both"/>
        <w:rPr>
          <w:sz w:val="24"/>
          <w:szCs w:val="24"/>
          <w:lang w:eastAsia="ar-SA"/>
        </w:rPr>
      </w:pPr>
    </w:p>
    <w:tbl>
      <w:tblPr>
        <w:tblStyle w:val="a9"/>
        <w:tblW w:w="0" w:type="auto"/>
        <w:tblInd w:w="225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776567" w:rsidRPr="00776567" w:rsidTr="0077656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Размер должностного оклада (в рублях)</w:t>
            </w:r>
          </w:p>
        </w:tc>
      </w:tr>
      <w:tr w:rsidR="00776567" w:rsidRPr="00776567" w:rsidTr="0077656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Инспектор отдела кадров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776567">
              <w:rPr>
                <w:sz w:val="24"/>
                <w:szCs w:val="24"/>
                <w:lang w:eastAsia="ar-SA"/>
              </w:rPr>
              <w:t>5168</w:t>
            </w:r>
          </w:p>
        </w:tc>
      </w:tr>
    </w:tbl>
    <w:p w:rsidR="00776567" w:rsidRPr="00776567" w:rsidRDefault="00776567" w:rsidP="00776567">
      <w:pPr>
        <w:suppressAutoHyphens/>
        <w:autoSpaceDE/>
        <w:autoSpaceDN/>
        <w:ind w:left="225"/>
        <w:jc w:val="center"/>
        <w:rPr>
          <w:sz w:val="24"/>
          <w:szCs w:val="24"/>
          <w:lang w:eastAsia="ar-SA"/>
        </w:rPr>
      </w:pPr>
      <w:r w:rsidRPr="00776567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«</w:t>
      </w:r>
    </w:p>
    <w:p w:rsidR="00776567" w:rsidRPr="00776567" w:rsidRDefault="00776567" w:rsidP="00776567">
      <w:pPr>
        <w:adjustRightInd w:val="0"/>
        <w:jc w:val="both"/>
        <w:rPr>
          <w:bCs/>
          <w:sz w:val="24"/>
          <w:szCs w:val="24"/>
        </w:rPr>
      </w:pPr>
      <w:r w:rsidRPr="00776567">
        <w:rPr>
          <w:bCs/>
          <w:sz w:val="24"/>
          <w:szCs w:val="24"/>
        </w:rPr>
        <w:t>3) пункт 8.2.  изложить в следующей редакции:</w:t>
      </w:r>
    </w:p>
    <w:p w:rsidR="00776567" w:rsidRPr="00776567" w:rsidRDefault="00776567" w:rsidP="00776567">
      <w:pPr>
        <w:adjustRightInd w:val="0"/>
        <w:jc w:val="both"/>
        <w:rPr>
          <w:bCs/>
          <w:sz w:val="24"/>
          <w:szCs w:val="24"/>
        </w:rPr>
      </w:pPr>
    </w:p>
    <w:p w:rsidR="00776567" w:rsidRPr="00776567" w:rsidRDefault="00776567" w:rsidP="00776567">
      <w:pPr>
        <w:adjustRightInd w:val="0"/>
        <w:jc w:val="both"/>
        <w:rPr>
          <w:bCs/>
          <w:sz w:val="24"/>
          <w:szCs w:val="24"/>
        </w:rPr>
      </w:pPr>
      <w:r w:rsidRPr="00776567">
        <w:rPr>
          <w:bCs/>
          <w:sz w:val="24"/>
          <w:szCs w:val="24"/>
        </w:rPr>
        <w:t>«8.2. Должностные оклады обслуживающего персонала устанавливаются в следующих размерах:</w:t>
      </w:r>
    </w:p>
    <w:p w:rsidR="00776567" w:rsidRPr="00776567" w:rsidRDefault="00776567" w:rsidP="00776567">
      <w:pPr>
        <w:adjustRightInd w:val="0"/>
        <w:jc w:val="both"/>
        <w:rPr>
          <w:bCs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140"/>
        <w:gridCol w:w="5139"/>
      </w:tblGrid>
      <w:tr w:rsidR="00776567" w:rsidRPr="00776567" w:rsidTr="0077656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6567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6567">
              <w:rPr>
                <w:bCs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776567" w:rsidRPr="00776567" w:rsidTr="0077656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6567">
              <w:rPr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6567">
              <w:rPr>
                <w:bCs/>
                <w:sz w:val="24"/>
                <w:szCs w:val="24"/>
              </w:rPr>
              <w:t>4099</w:t>
            </w:r>
          </w:p>
        </w:tc>
      </w:tr>
      <w:tr w:rsidR="00776567" w:rsidRPr="00776567" w:rsidTr="0077656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6567">
              <w:rPr>
                <w:bCs/>
                <w:sz w:val="24"/>
                <w:szCs w:val="24"/>
              </w:rPr>
              <w:t>Сторож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6567">
              <w:rPr>
                <w:bCs/>
                <w:sz w:val="24"/>
                <w:szCs w:val="24"/>
              </w:rPr>
              <w:t>4099</w:t>
            </w:r>
          </w:p>
        </w:tc>
      </w:tr>
      <w:tr w:rsidR="00776567" w:rsidRPr="00776567" w:rsidTr="0077656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6567">
              <w:rPr>
                <w:bCs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7" w:rsidRPr="00776567" w:rsidRDefault="00776567" w:rsidP="007765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6567">
              <w:rPr>
                <w:bCs/>
                <w:sz w:val="24"/>
                <w:szCs w:val="24"/>
              </w:rPr>
              <w:t>4099</w:t>
            </w:r>
          </w:p>
        </w:tc>
      </w:tr>
    </w:tbl>
    <w:p w:rsidR="00776567" w:rsidRPr="00776567" w:rsidRDefault="00776567" w:rsidP="00776567">
      <w:pPr>
        <w:adjustRightInd w:val="0"/>
        <w:jc w:val="both"/>
        <w:rPr>
          <w:bCs/>
          <w:sz w:val="24"/>
          <w:szCs w:val="24"/>
        </w:rPr>
      </w:pPr>
      <w:r w:rsidRPr="0077656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76567" w:rsidRPr="00776567" w:rsidRDefault="00776567" w:rsidP="00776567">
      <w:pPr>
        <w:autoSpaceDE/>
        <w:autoSpaceDN/>
        <w:ind w:firstLine="709"/>
        <w:contextualSpacing/>
        <w:jc w:val="both"/>
        <w:rPr>
          <w:sz w:val="28"/>
          <w:szCs w:val="24"/>
          <w:lang w:eastAsia="en-US"/>
        </w:rPr>
      </w:pPr>
      <w:r w:rsidRPr="00776567">
        <w:rPr>
          <w:sz w:val="28"/>
          <w:szCs w:val="24"/>
          <w:lang w:eastAsia="en-US"/>
        </w:rPr>
        <w:t>За работу в ночное время (ночное время с 22 часов до 6 часов) устанавливается доплата в размере 20% оклада (должностного оклада), рассчитанного за час работы, за каждый час работы  в ночное время</w:t>
      </w:r>
      <w:proofErr w:type="gramStart"/>
      <w:r w:rsidRPr="00776567">
        <w:rPr>
          <w:sz w:val="28"/>
          <w:szCs w:val="24"/>
          <w:lang w:eastAsia="en-US"/>
        </w:rPr>
        <w:t>.»</w:t>
      </w:r>
      <w:proofErr w:type="gramEnd"/>
    </w:p>
    <w:p w:rsidR="00776567" w:rsidRPr="00776567" w:rsidRDefault="00776567" w:rsidP="00776567">
      <w:pPr>
        <w:adjustRightInd w:val="0"/>
        <w:ind w:firstLine="709"/>
        <w:jc w:val="both"/>
        <w:rPr>
          <w:sz w:val="28"/>
          <w:szCs w:val="24"/>
        </w:rPr>
      </w:pPr>
      <w:r w:rsidRPr="00776567">
        <w:rPr>
          <w:sz w:val="28"/>
          <w:szCs w:val="24"/>
        </w:rPr>
        <w:t xml:space="preserve">2. Установить, что настоящее постановление вступает в силу с момента принятия и распространяет свое действие на правоотношения, возникшие </w:t>
      </w:r>
      <w:r>
        <w:rPr>
          <w:sz w:val="28"/>
          <w:szCs w:val="24"/>
        </w:rPr>
        <w:t xml:space="preserve">                       </w:t>
      </w:r>
      <w:r w:rsidRPr="00776567">
        <w:rPr>
          <w:sz w:val="28"/>
          <w:szCs w:val="24"/>
        </w:rPr>
        <w:t>с 01 января 2018 года.</w:t>
      </w:r>
    </w:p>
    <w:p w:rsidR="00776567" w:rsidRPr="00776567" w:rsidRDefault="00776567" w:rsidP="00776567">
      <w:pPr>
        <w:adjustRightInd w:val="0"/>
        <w:ind w:firstLine="709"/>
        <w:jc w:val="both"/>
        <w:rPr>
          <w:sz w:val="28"/>
          <w:szCs w:val="24"/>
        </w:rPr>
      </w:pPr>
      <w:r w:rsidRPr="00776567">
        <w:rPr>
          <w:sz w:val="28"/>
          <w:szCs w:val="24"/>
        </w:rPr>
        <w:t xml:space="preserve">3. </w:t>
      </w:r>
      <w:proofErr w:type="gramStart"/>
      <w:r w:rsidRPr="00776567">
        <w:rPr>
          <w:sz w:val="28"/>
          <w:szCs w:val="24"/>
        </w:rPr>
        <w:t>Контроль за</w:t>
      </w:r>
      <w:proofErr w:type="gramEnd"/>
      <w:r w:rsidRPr="00776567">
        <w:rPr>
          <w:sz w:val="28"/>
          <w:szCs w:val="24"/>
        </w:rPr>
        <w:t xml:space="preserve"> выполнением настоящего пост</w:t>
      </w:r>
      <w:r>
        <w:rPr>
          <w:sz w:val="28"/>
          <w:szCs w:val="24"/>
        </w:rPr>
        <w:t>ановления возложить на Первого З</w:t>
      </w:r>
      <w:r w:rsidRPr="00776567">
        <w:rPr>
          <w:sz w:val="28"/>
          <w:szCs w:val="24"/>
        </w:rPr>
        <w:t>аместителя Главы Администрации Североуральского городского округа С.А.</w:t>
      </w:r>
      <w:r>
        <w:rPr>
          <w:sz w:val="28"/>
          <w:szCs w:val="24"/>
        </w:rPr>
        <w:t xml:space="preserve"> </w:t>
      </w:r>
      <w:r w:rsidRPr="00776567">
        <w:rPr>
          <w:sz w:val="28"/>
          <w:szCs w:val="24"/>
        </w:rPr>
        <w:t>Золотареву</w:t>
      </w:r>
      <w:r>
        <w:rPr>
          <w:sz w:val="28"/>
          <w:szCs w:val="24"/>
        </w:rPr>
        <w:t>.</w:t>
      </w:r>
      <w:r w:rsidRPr="00776567">
        <w:rPr>
          <w:sz w:val="28"/>
          <w:szCs w:val="24"/>
        </w:rPr>
        <w:t xml:space="preserve">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77656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776567">
        <w:rPr>
          <w:rFonts w:eastAsia="Calibri"/>
          <w:sz w:val="28"/>
          <w:szCs w:val="22"/>
          <w:lang w:eastAsia="en-US"/>
        </w:rPr>
        <w:t xml:space="preserve">   С.А. Золотарева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1" w:name="_GoBack"/>
      <w:bookmarkEnd w:id="1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0D" w:rsidRDefault="00F2100D" w:rsidP="00610542">
      <w:r>
        <w:separator/>
      </w:r>
    </w:p>
  </w:endnote>
  <w:endnote w:type="continuationSeparator" w:id="0">
    <w:p w:rsidR="00F2100D" w:rsidRDefault="00F2100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0D" w:rsidRDefault="00F2100D" w:rsidP="00610542">
      <w:r>
        <w:separator/>
      </w:r>
    </w:p>
  </w:footnote>
  <w:footnote w:type="continuationSeparator" w:id="0">
    <w:p w:rsidR="00F2100D" w:rsidRDefault="00F2100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567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5316"/>
    <w:rsid w:val="00610542"/>
    <w:rsid w:val="006D7463"/>
    <w:rsid w:val="00703121"/>
    <w:rsid w:val="00776567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  <w:rsid w:val="00F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765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765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2017-11-20T10:58:00Z</cp:lastPrinted>
  <dcterms:created xsi:type="dcterms:W3CDTF">2017-11-20T11:34:00Z</dcterms:created>
  <dcterms:modified xsi:type="dcterms:W3CDTF">2018-02-12T11:55:00Z</dcterms:modified>
</cp:coreProperties>
</file>