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7" w:rsidRPr="00FC6A5D" w:rsidRDefault="00737D97" w:rsidP="001E07D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C6A5D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737D97" w:rsidRPr="00FC6A5D" w:rsidRDefault="00737D97" w:rsidP="001E07D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6A5D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737D97" w:rsidRPr="00FC6A5D" w:rsidRDefault="00737D97" w:rsidP="001E07D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6A5D">
        <w:rPr>
          <w:rFonts w:ascii="Times New Roman" w:hAnsi="Times New Roman" w:cs="Times New Roman"/>
          <w:bCs/>
          <w:sz w:val="24"/>
          <w:szCs w:val="24"/>
        </w:rPr>
        <w:t>Североуральского  городского округа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 xml:space="preserve">от </w:t>
      </w:r>
      <w:r w:rsidR="001E07DE">
        <w:rPr>
          <w:rFonts w:ascii="Times New Roman" w:hAnsi="Times New Roman" w:cs="Times New Roman"/>
          <w:sz w:val="24"/>
          <w:szCs w:val="24"/>
        </w:rPr>
        <w:t>15.08.</w:t>
      </w:r>
      <w:r w:rsidRPr="00FC6A5D">
        <w:rPr>
          <w:rFonts w:ascii="Times New Roman" w:hAnsi="Times New Roman" w:cs="Times New Roman"/>
          <w:sz w:val="24"/>
          <w:szCs w:val="24"/>
        </w:rPr>
        <w:t xml:space="preserve">2013г. № </w:t>
      </w:r>
      <w:r w:rsidR="001E07DE">
        <w:rPr>
          <w:rFonts w:ascii="Times New Roman" w:hAnsi="Times New Roman" w:cs="Times New Roman"/>
          <w:sz w:val="24"/>
          <w:szCs w:val="24"/>
        </w:rPr>
        <w:t>1168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>«Об утверждении Плана мероприятий</w:t>
      </w:r>
    </w:p>
    <w:p w:rsidR="001E07DE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 xml:space="preserve"> («дорожной карты») «Изменени</w:t>
      </w:r>
      <w:r w:rsidR="001E07DE">
        <w:rPr>
          <w:rFonts w:ascii="Times New Roman" w:hAnsi="Times New Roman" w:cs="Times New Roman"/>
          <w:sz w:val="24"/>
          <w:szCs w:val="24"/>
        </w:rPr>
        <w:t>я</w:t>
      </w:r>
      <w:r w:rsidRPr="00FC6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6A5D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FC6A5D">
        <w:rPr>
          <w:rFonts w:ascii="Times New Roman" w:hAnsi="Times New Roman" w:cs="Times New Roman"/>
          <w:sz w:val="24"/>
          <w:szCs w:val="24"/>
        </w:rPr>
        <w:t xml:space="preserve"> социальной сферы, 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6A5D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FC6A5D">
        <w:rPr>
          <w:rFonts w:ascii="Times New Roman" w:hAnsi="Times New Roman" w:cs="Times New Roman"/>
          <w:sz w:val="24"/>
          <w:szCs w:val="24"/>
        </w:rPr>
        <w:t xml:space="preserve"> на повышение 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 xml:space="preserve">эффективности сферы культуры 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 xml:space="preserve">на территории Североуральского </w:t>
      </w:r>
    </w:p>
    <w:p w:rsidR="00737D97" w:rsidRPr="00FC6A5D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5D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737D97" w:rsidRDefault="00737D97" w:rsidP="001E0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7DE" w:rsidRPr="00737D97" w:rsidRDefault="001E07DE" w:rsidP="001E0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D97" w:rsidRPr="001E07DE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DE">
        <w:rPr>
          <w:rFonts w:ascii="Times New Roman" w:hAnsi="Times New Roman" w:cs="Times New Roman"/>
          <w:b/>
          <w:sz w:val="28"/>
          <w:szCs w:val="28"/>
        </w:rPr>
        <w:t>П</w:t>
      </w:r>
      <w:r w:rsidR="001E07DE" w:rsidRPr="001E07DE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Pr="001E07DE">
        <w:rPr>
          <w:rFonts w:ascii="Times New Roman" w:hAnsi="Times New Roman" w:cs="Times New Roman"/>
          <w:b/>
          <w:sz w:val="28"/>
          <w:szCs w:val="28"/>
        </w:rPr>
        <w:t>(«</w:t>
      </w:r>
      <w:r w:rsidR="001E07DE" w:rsidRPr="001E07DE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1E07DE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1E07DE" w:rsidRPr="001E07DE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DE">
        <w:rPr>
          <w:rFonts w:ascii="Times New Roman" w:hAnsi="Times New Roman" w:cs="Times New Roman"/>
          <w:b/>
          <w:sz w:val="28"/>
          <w:szCs w:val="28"/>
        </w:rPr>
        <w:t>«</w:t>
      </w:r>
      <w:r w:rsidR="001E07DE" w:rsidRPr="001E07DE">
        <w:rPr>
          <w:rFonts w:ascii="Times New Roman" w:hAnsi="Times New Roman" w:cs="Times New Roman"/>
          <w:b/>
          <w:sz w:val="28"/>
          <w:szCs w:val="28"/>
        </w:rPr>
        <w:t xml:space="preserve">Изменения в отраслях социальной сферы, направленные </w:t>
      </w:r>
    </w:p>
    <w:p w:rsidR="00737D97" w:rsidRPr="001E07DE" w:rsidRDefault="001E07DE" w:rsidP="001E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DE">
        <w:rPr>
          <w:rFonts w:ascii="Times New Roman" w:hAnsi="Times New Roman" w:cs="Times New Roman"/>
          <w:b/>
          <w:sz w:val="28"/>
          <w:szCs w:val="28"/>
        </w:rPr>
        <w:t>на повышение эффективности сферы  культуры</w:t>
      </w:r>
    </w:p>
    <w:p w:rsidR="00737D97" w:rsidRPr="001E07DE" w:rsidRDefault="001E07DE" w:rsidP="001E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DE">
        <w:rPr>
          <w:rFonts w:ascii="Times New Roman" w:hAnsi="Times New Roman" w:cs="Times New Roman"/>
          <w:b/>
          <w:sz w:val="28"/>
          <w:szCs w:val="28"/>
        </w:rPr>
        <w:t>На территории Североуральского городского округа</w:t>
      </w:r>
      <w:r w:rsidR="00737D97" w:rsidRPr="001E07DE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97" w:rsidRPr="00737D97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97" w:rsidRPr="00737D97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E07DE" w:rsidRPr="00737D97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Pr="00737D97">
        <w:rPr>
          <w:rFonts w:ascii="Times New Roman" w:hAnsi="Times New Roman" w:cs="Times New Roman"/>
          <w:sz w:val="28"/>
          <w:szCs w:val="28"/>
        </w:rPr>
        <w:t>«</w:t>
      </w:r>
      <w:r w:rsidR="001E07DE" w:rsidRPr="00737D97">
        <w:rPr>
          <w:rFonts w:ascii="Times New Roman" w:hAnsi="Times New Roman" w:cs="Times New Roman"/>
          <w:sz w:val="28"/>
          <w:szCs w:val="28"/>
        </w:rPr>
        <w:t>дорожной карты</w:t>
      </w:r>
      <w:r w:rsidRPr="00737D97">
        <w:rPr>
          <w:rFonts w:ascii="Times New Roman" w:hAnsi="Times New Roman" w:cs="Times New Roman"/>
          <w:sz w:val="28"/>
          <w:szCs w:val="28"/>
        </w:rPr>
        <w:t>»</w:t>
      </w:r>
    </w:p>
    <w:p w:rsidR="00737D97" w:rsidRPr="00737D97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97" w:rsidRP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7D97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r>
        <w:rPr>
          <w:rFonts w:ascii="Times New Roman" w:hAnsi="Times New Roman" w:cs="Times New Roman"/>
          <w:sz w:val="28"/>
          <w:szCs w:val="28"/>
        </w:rPr>
        <w:t>«Изменени</w:t>
      </w:r>
      <w:r w:rsidR="001E07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отраслях социальной сферы, направленные на повышение эффективности сферы </w:t>
      </w:r>
      <w:r w:rsidRPr="00737D97">
        <w:rPr>
          <w:rFonts w:ascii="Times New Roman" w:hAnsi="Times New Roman" w:cs="Times New Roman"/>
          <w:sz w:val="28"/>
          <w:szCs w:val="28"/>
        </w:rPr>
        <w:t>культуры  на территории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D97">
        <w:rPr>
          <w:rFonts w:ascii="Times New Roman" w:hAnsi="Times New Roman" w:cs="Times New Roman"/>
          <w:sz w:val="28"/>
          <w:szCs w:val="28"/>
        </w:rPr>
        <w:t xml:space="preserve"> (далее - «дорожная карта») направлен на формирование эффективных условий и средств решения актуальных задач и проблем в сфере культуры на территории Североуральского городского округа, мобилизацию имеющихся ресурсов для повышения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востребованности услуг в сфере </w:t>
      </w:r>
      <w:r w:rsidRPr="00737D9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Pr="00737D97">
        <w:rPr>
          <w:rFonts w:ascii="Times New Roman" w:hAnsi="Times New Roman" w:cs="Times New Roman"/>
          <w:sz w:val="28"/>
          <w:szCs w:val="28"/>
        </w:rPr>
        <w:t>Североуральского городского округа.</w:t>
      </w:r>
      <w:proofErr w:type="gramEnd"/>
    </w:p>
    <w:p w:rsidR="00737D97" w:rsidRP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>2. Целями «дорожной карты» являются:</w:t>
      </w:r>
    </w:p>
    <w:p w:rsidR="00737D97" w:rsidRP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>1) повышение качества жизни населения Североуральского городского округа</w:t>
      </w:r>
      <w:r w:rsidR="00B17252">
        <w:rPr>
          <w:rFonts w:ascii="Times New Roman" w:hAnsi="Times New Roman" w:cs="Times New Roman"/>
          <w:sz w:val="28"/>
          <w:szCs w:val="28"/>
        </w:rPr>
        <w:t xml:space="preserve"> путем предоставления возможности саморазвития через занятия художественным творчеством,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активной части населения, полноценного межнационального обмена</w:t>
      </w:r>
      <w:r w:rsidRPr="00737D97">
        <w:rPr>
          <w:rFonts w:ascii="Times New Roman" w:hAnsi="Times New Roman" w:cs="Times New Roman"/>
          <w:sz w:val="28"/>
          <w:szCs w:val="28"/>
        </w:rPr>
        <w:t>;</w:t>
      </w:r>
    </w:p>
    <w:p w:rsidR="00737D97" w:rsidRP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>2) п</w:t>
      </w:r>
      <w:r w:rsidRPr="00737D97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деятельности учреждений культуры и </w:t>
      </w:r>
      <w:r w:rsidRPr="00737D97">
        <w:rPr>
          <w:rFonts w:ascii="Times New Roman" w:hAnsi="Times New Roman" w:cs="Times New Roman"/>
          <w:sz w:val="28"/>
          <w:szCs w:val="28"/>
        </w:rPr>
        <w:t xml:space="preserve">качества предоставления услуг в сфере культуры; </w:t>
      </w:r>
    </w:p>
    <w:p w:rsidR="00737D97" w:rsidRP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 xml:space="preserve">3) обеспечение достойной </w:t>
      </w:r>
      <w:proofErr w:type="gramStart"/>
      <w:r w:rsidRPr="00737D97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737D97"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округе;</w:t>
      </w:r>
    </w:p>
    <w:p w:rsidR="00737D97" w:rsidRPr="00737D97" w:rsidRDefault="00737D97" w:rsidP="001E07D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>4) сохранение и развитие кадрового потенциала учреждений культуры;</w:t>
      </w:r>
    </w:p>
    <w:p w:rsidR="00737D97" w:rsidRDefault="00737D97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97">
        <w:rPr>
          <w:rFonts w:ascii="Times New Roman" w:hAnsi="Times New Roman" w:cs="Times New Roman"/>
          <w:sz w:val="28"/>
          <w:szCs w:val="28"/>
        </w:rPr>
        <w:t>5) повышение престижности и привлекательности профессий в сфере культуры</w:t>
      </w:r>
      <w:r w:rsidR="00B17252">
        <w:rPr>
          <w:rFonts w:ascii="Times New Roman" w:hAnsi="Times New Roman" w:cs="Times New Roman"/>
          <w:sz w:val="28"/>
          <w:szCs w:val="28"/>
        </w:rPr>
        <w:t>;</w:t>
      </w:r>
    </w:p>
    <w:p w:rsidR="00B17252" w:rsidRPr="00737D97" w:rsidRDefault="00B17252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создание благоприятных условий для развития сферы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округе, повышения ее востребованности.</w:t>
      </w:r>
    </w:p>
    <w:p w:rsidR="00737D97" w:rsidRDefault="00737D97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3. Сроки реализации </w:t>
      </w:r>
      <w:r w:rsidRPr="00737D97">
        <w:rPr>
          <w:rFonts w:ascii="Times New Roman" w:hAnsi="Times New Roman" w:cs="Times New Roman"/>
          <w:bCs/>
          <w:color w:val="000000"/>
          <w:sz w:val="28"/>
          <w:szCs w:val="28"/>
        </w:rPr>
        <w:t>«дорожной карты» - 2013-2018 годы.</w:t>
      </w:r>
    </w:p>
    <w:p w:rsidR="00B17252" w:rsidRDefault="00B1725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CF0EC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качестве контрольных показателей успешной реализации «дорожной карты»</w:t>
      </w:r>
      <w:r w:rsidR="00CF0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определены следующие показатели:</w:t>
      </w:r>
    </w:p>
    <w:p w:rsidR="00CF0EC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увеличение количества посещений концертных мероприятий (по сравнению с предыдущим годом), в процентах:</w:t>
      </w:r>
    </w:p>
    <w:p w:rsidR="00CF0EC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1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CF0EC2" w:rsidTr="00CF0EC2">
        <w:tc>
          <w:tcPr>
            <w:tcW w:w="2755" w:type="dxa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CF0EC2" w:rsidTr="00CF0EC2">
        <w:tc>
          <w:tcPr>
            <w:tcW w:w="2755" w:type="dxa"/>
          </w:tcPr>
          <w:p w:rsidR="00CF0EC2" w:rsidRPr="00CF0EC2" w:rsidRDefault="00CF0EC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CF0EC2" w:rsidRPr="00CF0EC2" w:rsidRDefault="00F0606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</w:tbl>
    <w:p w:rsidR="00CF0EC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EC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увеличение количества библиографических записей в сводном электронном каталоге библиотек </w:t>
      </w:r>
      <w:r w:rsidR="001E07DE">
        <w:rPr>
          <w:rFonts w:ascii="Times New Roman" w:hAnsi="Times New Roman" w:cs="Times New Roman"/>
          <w:bCs/>
          <w:color w:val="000000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сравнению с предыдущим годом), в процентах:</w:t>
      </w:r>
    </w:p>
    <w:p w:rsidR="00D2179C" w:rsidRDefault="00D2179C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2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CF0EC2" w:rsidTr="00CF0EC2">
        <w:tc>
          <w:tcPr>
            <w:tcW w:w="2755" w:type="dxa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CF0EC2" w:rsidTr="00CF0EC2">
        <w:tc>
          <w:tcPr>
            <w:tcW w:w="2755" w:type="dxa"/>
          </w:tcPr>
          <w:p w:rsidR="00CF0EC2" w:rsidRPr="00CF0EC2" w:rsidRDefault="00CF0EC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CF0EC2" w:rsidRPr="00CF0EC2" w:rsidRDefault="00CF0EC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</w:tr>
    </w:tbl>
    <w:p w:rsidR="00CF0EC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Default="00CF0EC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D21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доли представленных (во всех формах) зрителю музейных предметов в общем количестве музейных предметов основного фонда, в процентах:  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</w:tbl>
    <w:p w:rsidR="00D2179C" w:rsidRDefault="00D2179C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Default="00D2179C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 ежегодной посещаемости музеев города и п. Калья, количество посещений на 1000 жителей Североуральского городского округа: 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4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367,5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376,5</w:t>
            </w:r>
          </w:p>
        </w:tc>
      </w:tr>
    </w:tbl>
    <w:p w:rsidR="00737D97" w:rsidRDefault="00737D97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Default="00D2179C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в процентах: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5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</w:tr>
    </w:tbl>
    <w:p w:rsidR="00D2179C" w:rsidRDefault="00D2179C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Default="008A6DAB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удовлетворенности населения Североуральского городского округа качеством и доступностью предоставляемых </w:t>
      </w:r>
      <w:r w:rsidR="001E07D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в сфере культуры, в процентах от общего количества обслуженных посетителей: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6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целевого </w:t>
            </w: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</w:tbl>
    <w:p w:rsidR="008A6DAB" w:rsidRDefault="008A6DAB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Pr="00737D97" w:rsidRDefault="008A6DAB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A40C22">
        <w:rPr>
          <w:rFonts w:ascii="Times New Roman" w:hAnsi="Times New Roman" w:cs="Times New Roman"/>
          <w:bCs/>
          <w:color w:val="000000"/>
          <w:sz w:val="28"/>
          <w:szCs w:val="28"/>
        </w:rPr>
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в процентах: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7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78,1</w:t>
            </w:r>
          </w:p>
        </w:tc>
      </w:tr>
    </w:tbl>
    <w:p w:rsidR="008A6DAB" w:rsidRDefault="008A6DAB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C22" w:rsidRDefault="008A6DAB" w:rsidP="001E07D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</w:t>
      </w:r>
      <w:r w:rsidR="00A40C22">
        <w:rPr>
          <w:rFonts w:ascii="Times New Roman" w:hAnsi="Times New Roman" w:cs="Times New Roman"/>
          <w:color w:val="000000"/>
          <w:sz w:val="28"/>
          <w:szCs w:val="28"/>
        </w:rPr>
        <w:t xml:space="preserve">доля детей, привлекаемых к участию в творческих мероприятиях, в общем числе детей, в процентах: </w:t>
      </w:r>
    </w:p>
    <w:p w:rsidR="00A40C22" w:rsidRDefault="00A40C22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A40C22" w:rsidTr="00A40C22">
        <w:tc>
          <w:tcPr>
            <w:tcW w:w="2755" w:type="dxa"/>
          </w:tcPr>
          <w:p w:rsidR="00A40C22" w:rsidRPr="00CF0EC2" w:rsidRDefault="00A40C22" w:rsidP="001E07DE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0" w:type="auto"/>
          </w:tcPr>
          <w:p w:rsidR="00A40C2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27,9</w:t>
            </w:r>
          </w:p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0" w:type="auto"/>
          </w:tcPr>
          <w:p w:rsidR="00A40C22" w:rsidRPr="00CF0EC2" w:rsidRDefault="00A40C22" w:rsidP="001E07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</w:tr>
    </w:tbl>
    <w:p w:rsidR="00A40C22" w:rsidRDefault="00A40C22" w:rsidP="001E07D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7D97" w:rsidRPr="001E07DE" w:rsidRDefault="00737D97" w:rsidP="001E07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>Глава 2. С</w:t>
      </w:r>
      <w:r w:rsidR="001E07DE" w:rsidRPr="00737D97">
        <w:rPr>
          <w:rFonts w:ascii="Times New Roman" w:hAnsi="Times New Roman" w:cs="Times New Roman"/>
          <w:color w:val="000000"/>
          <w:sz w:val="28"/>
          <w:szCs w:val="28"/>
        </w:rPr>
        <w:t>труктурные преобразования</w:t>
      </w:r>
      <w:r w:rsidR="001E07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E07DE"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 сфере культуры</w:t>
      </w:r>
    </w:p>
    <w:p w:rsidR="00737D97" w:rsidRPr="00737D97" w:rsidRDefault="00737D97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7D97" w:rsidRDefault="00226666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рамках структурных преобразований в сфере культуры Североуральского городского  округа предусматриваются:</w:t>
      </w:r>
    </w:p>
    <w:p w:rsidR="00226666" w:rsidRDefault="00226666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6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66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качества и расширение спектра муниципальных услуг, оказываемых в сфере культуры Североуральского городского округа;</w:t>
      </w:r>
    </w:p>
    <w:p w:rsidR="00A40C22" w:rsidRDefault="00226666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0C2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самовыражения населения Североуральского городского округа;</w:t>
      </w:r>
    </w:p>
    <w:p w:rsidR="00754120" w:rsidRDefault="00754120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0C22">
        <w:rPr>
          <w:rFonts w:ascii="Times New Roman" w:hAnsi="Times New Roman" w:cs="Times New Roman"/>
          <w:sz w:val="28"/>
          <w:szCs w:val="28"/>
        </w:rPr>
        <w:t>вовлечение  населения в создание и продвижение культурного продукта;</w:t>
      </w:r>
    </w:p>
    <w:p w:rsidR="00A40C22" w:rsidRDefault="00754120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0C22">
        <w:rPr>
          <w:rFonts w:ascii="Times New Roman" w:hAnsi="Times New Roman" w:cs="Times New Roman"/>
          <w:sz w:val="28"/>
          <w:szCs w:val="28"/>
        </w:rPr>
        <w:t xml:space="preserve">влияние культуры на формирование комфортной среды жизнедеятельности </w:t>
      </w:r>
      <w:proofErr w:type="gramStart"/>
      <w:r w:rsidR="00A40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C22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="00A40C22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40C22" w:rsidRPr="00226666" w:rsidRDefault="00A40C22" w:rsidP="001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DE" w:rsidRDefault="00737D97" w:rsidP="001E0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Глава 3. </w:t>
      </w:r>
      <w:r w:rsidR="001E07DE" w:rsidRPr="00737D97">
        <w:rPr>
          <w:rFonts w:ascii="Times New Roman" w:hAnsi="Times New Roman" w:cs="Times New Roman"/>
          <w:color w:val="000000"/>
          <w:sz w:val="28"/>
          <w:szCs w:val="28"/>
        </w:rPr>
        <w:t>Целевые показатели (индикаторы) ра</w:t>
      </w:r>
      <w:r w:rsidR="001E07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E07DE"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вития сферы </w:t>
      </w:r>
    </w:p>
    <w:p w:rsidR="00737D97" w:rsidRDefault="001E07DE" w:rsidP="001E0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proofErr w:type="gramStart"/>
      <w:r w:rsidRPr="00737D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7D97">
        <w:rPr>
          <w:rFonts w:ascii="Times New Roman" w:hAnsi="Times New Roman" w:cs="Times New Roman"/>
          <w:color w:val="000000"/>
          <w:sz w:val="28"/>
          <w:szCs w:val="28"/>
        </w:rPr>
        <w:t>евероуральском</w:t>
      </w:r>
      <w:proofErr w:type="gramEnd"/>
      <w:r w:rsidRPr="00737D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</w:t>
      </w:r>
    </w:p>
    <w:p w:rsidR="001E07DE" w:rsidRPr="00737D97" w:rsidRDefault="001E07DE" w:rsidP="001E0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7D97" w:rsidRPr="00737D97" w:rsidRDefault="00737D97" w:rsidP="001E07D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97">
        <w:rPr>
          <w:rFonts w:ascii="Times New Roman" w:hAnsi="Times New Roman" w:cs="Times New Roman"/>
          <w:color w:val="000000"/>
          <w:sz w:val="28"/>
          <w:szCs w:val="28"/>
        </w:rPr>
        <w:t>1. 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38"/>
        <w:gridCol w:w="958"/>
        <w:gridCol w:w="958"/>
        <w:gridCol w:w="958"/>
        <w:gridCol w:w="959"/>
        <w:gridCol w:w="958"/>
        <w:gridCol w:w="931"/>
      </w:tblGrid>
      <w:tr w:rsidR="00737D97" w:rsidRPr="00737D97" w:rsidTr="00E037F1">
        <w:tc>
          <w:tcPr>
            <w:tcW w:w="0" w:type="auto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</w:t>
            </w:r>
            <w:proofErr w:type="gramEnd"/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 (индикатора),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31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37D97" w:rsidRPr="00737D97" w:rsidTr="00E037F1">
        <w:tc>
          <w:tcPr>
            <w:tcW w:w="0" w:type="auto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СГО к средней заработной плате по экономике Свердловской области, процентов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959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31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7D97" w:rsidRPr="00737D97" w:rsidTr="00E037F1">
        <w:tc>
          <w:tcPr>
            <w:tcW w:w="0" w:type="auto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E037F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737D97" w:rsidRPr="00E037F1" w:rsidRDefault="00737D97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945231"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037F1" w:rsidRPr="00737D97" w:rsidTr="00E037F1">
        <w:tc>
          <w:tcPr>
            <w:tcW w:w="0" w:type="auto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8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искусств, процентов</w:t>
            </w:r>
          </w:p>
        </w:tc>
        <w:tc>
          <w:tcPr>
            <w:tcW w:w="958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58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58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59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58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31" w:type="dxa"/>
          </w:tcPr>
          <w:p w:rsidR="00E037F1" w:rsidRPr="00E037F1" w:rsidRDefault="00E037F1" w:rsidP="001E07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A40C22" w:rsidRPr="001E07DE" w:rsidRDefault="00A40C22" w:rsidP="001E07DE">
      <w:pPr>
        <w:shd w:val="clear" w:color="auto" w:fill="FFFFFF"/>
        <w:tabs>
          <w:tab w:val="left" w:pos="7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7D97" w:rsidRPr="001E07DE" w:rsidRDefault="00737D97" w:rsidP="001E07DE">
      <w:pPr>
        <w:shd w:val="clear" w:color="auto" w:fill="FFFFFF"/>
        <w:tabs>
          <w:tab w:val="left" w:pos="700"/>
        </w:tabs>
        <w:spacing w:after="0" w:line="240" w:lineRule="auto"/>
        <w:ind w:hanging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Глава 4. М</w:t>
      </w:r>
      <w:r w:rsidR="001E07DE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еры, обеспечивающие достижение</w:t>
      </w:r>
    </w:p>
    <w:p w:rsidR="00737D97" w:rsidRPr="001E07DE" w:rsidRDefault="001E07DE" w:rsidP="001E07DE">
      <w:pPr>
        <w:shd w:val="clear" w:color="auto" w:fill="FFFFFF"/>
        <w:tabs>
          <w:tab w:val="left" w:pos="700"/>
        </w:tabs>
        <w:spacing w:after="0" w:line="240" w:lineRule="auto"/>
        <w:ind w:hanging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(индикаторов)</w:t>
      </w:r>
    </w:p>
    <w:p w:rsidR="00FC6A5D" w:rsidRPr="001E07DE" w:rsidRDefault="00FC6A5D" w:rsidP="001E07DE">
      <w:pPr>
        <w:shd w:val="clear" w:color="auto" w:fill="FFFFFF"/>
        <w:tabs>
          <w:tab w:val="left" w:pos="7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7D97" w:rsidRPr="001E07DE" w:rsidRDefault="00737D97" w:rsidP="001E07DE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Мерами, обеспечивающими достижение целевых п</w:t>
      </w:r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оказателей (индикаторов) развития сферы </w:t>
      </w:r>
      <w:r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культуры</w:t>
      </w:r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Североуральском</w:t>
      </w:r>
      <w:proofErr w:type="gramEnd"/>
      <w:r w:rsidR="00E037F1"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округе</w:t>
      </w:r>
      <w:r w:rsidRPr="001E07DE">
        <w:rPr>
          <w:rFonts w:ascii="Times New Roman" w:hAnsi="Times New Roman" w:cs="Times New Roman"/>
          <w:bCs/>
          <w:color w:val="000000"/>
          <w:sz w:val="28"/>
          <w:szCs w:val="28"/>
        </w:rPr>
        <w:t>, являются:</w:t>
      </w:r>
    </w:p>
    <w:p w:rsidR="00737D97" w:rsidRPr="001E07DE" w:rsidRDefault="00737D97" w:rsidP="001E0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1) создание механизма стимулирования работников учреждений культуры, </w:t>
      </w:r>
      <w:r w:rsidRPr="001E07DE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различной сложности,</w:t>
      </w:r>
      <w:r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системы «эффективного контракта», прозрачное формирование оплаты труда, обеспечение выполнения требований к качеству оказания услуг;</w:t>
      </w:r>
    </w:p>
    <w:p w:rsidR="00737D97" w:rsidRPr="001E07DE" w:rsidRDefault="00737D97" w:rsidP="001E0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экономике Свердловской области в соответствии с Указом Президента Российской Федерации от 07</w:t>
      </w:r>
      <w:r w:rsidR="001E07DE"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1E07DE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1E07DE"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политики»;</w:t>
      </w:r>
    </w:p>
    <w:p w:rsidR="00737D97" w:rsidRPr="001E07DE" w:rsidRDefault="00737D97" w:rsidP="001E0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3) обновление квалификационных требований к работникам, переобучение, повышение квалификации работников учреждений культуры, </w:t>
      </w:r>
      <w:r w:rsidR="00A40C22"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предпосылок для привлечения в сферу культуры молодых специалистов, </w:t>
      </w:r>
      <w:r w:rsidRPr="001E07D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потенциала работников сферы культуры;</w:t>
      </w:r>
    </w:p>
    <w:p w:rsidR="00737D97" w:rsidRPr="001E07DE" w:rsidRDefault="00737D97" w:rsidP="001E07DE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>4) реорганизация неэффективных учреждений культуры, привлечение внебюджетных сре</w:t>
      </w:r>
      <w:proofErr w:type="gramStart"/>
      <w:r w:rsidRPr="001E07DE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E07DE">
        <w:rPr>
          <w:rFonts w:ascii="Times New Roman" w:hAnsi="Times New Roman" w:cs="Times New Roman"/>
          <w:color w:val="000000"/>
          <w:sz w:val="28"/>
          <w:szCs w:val="28"/>
        </w:rPr>
        <w:t>я решения поставленных задач.</w:t>
      </w:r>
    </w:p>
    <w:p w:rsidR="00CF3E1C" w:rsidRPr="001E07DE" w:rsidRDefault="00CF3E1C" w:rsidP="001E07DE">
      <w:pPr>
        <w:shd w:val="clear" w:color="auto" w:fill="FFFFFF"/>
        <w:tabs>
          <w:tab w:val="left" w:pos="23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7DE" w:rsidRDefault="00737D97" w:rsidP="001E07DE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>Глава 5. О</w:t>
      </w:r>
      <w:r w:rsidR="001E07DE"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сновные мероприятия, направленные на повышение </w:t>
      </w:r>
    </w:p>
    <w:p w:rsidR="00737D97" w:rsidRDefault="001E07DE" w:rsidP="001E07DE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7D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сферы культуры на территории </w:t>
      </w:r>
      <w:r w:rsidR="005854C0" w:rsidRPr="001E07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07DE">
        <w:rPr>
          <w:rFonts w:ascii="Times New Roman" w:hAnsi="Times New Roman" w:cs="Times New Roman"/>
          <w:color w:val="000000"/>
          <w:sz w:val="28"/>
          <w:szCs w:val="28"/>
        </w:rPr>
        <w:t>евероуральского городского округа и обеспечивающие достижение целевых показателей (индикаторов)</w:t>
      </w:r>
    </w:p>
    <w:p w:rsidR="001E07DE" w:rsidRPr="001E07DE" w:rsidRDefault="001E07DE" w:rsidP="001E07DE">
      <w:pPr>
        <w:shd w:val="clear" w:color="auto" w:fill="FFFFFF"/>
        <w:tabs>
          <w:tab w:val="left" w:pos="23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56"/>
        <w:gridCol w:w="1797"/>
        <w:gridCol w:w="2268"/>
      </w:tblGrid>
      <w:tr w:rsidR="00F44563" w:rsidRPr="001E07DE" w:rsidTr="000700BD">
        <w:trPr>
          <w:trHeight w:val="145"/>
        </w:trPr>
        <w:tc>
          <w:tcPr>
            <w:tcW w:w="5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4563" w:rsidRPr="001E07DE" w:rsidTr="000700BD">
        <w:trPr>
          <w:trHeight w:val="344"/>
        </w:trPr>
        <w:tc>
          <w:tcPr>
            <w:tcW w:w="5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563" w:rsidRPr="001E07DE" w:rsidTr="001E07DE">
        <w:trPr>
          <w:trHeight w:val="562"/>
        </w:trPr>
        <w:tc>
          <w:tcPr>
            <w:tcW w:w="10207" w:type="dxa"/>
            <w:gridSpan w:val="5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оплаты труда, создание прозрачного </w:t>
            </w:r>
            <w:proofErr w:type="gramStart"/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F44563" w:rsidRPr="001E07DE" w:rsidTr="000700BD">
        <w:trPr>
          <w:trHeight w:val="145"/>
        </w:trPr>
        <w:tc>
          <w:tcPr>
            <w:tcW w:w="568" w:type="dxa"/>
          </w:tcPr>
          <w:p w:rsidR="00F44563" w:rsidRPr="001E07DE" w:rsidRDefault="00F44563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</w:t>
            </w:r>
            <w:r w:rsid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(изменение)</w:t>
            </w: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показателей эффективности деятельности муниципальных учреждений культуры, их руководителей и работников по видам учреждений по основным категориям работников</w:t>
            </w:r>
          </w:p>
          <w:p w:rsidR="00F44563" w:rsidRPr="001E07DE" w:rsidRDefault="00F44563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</w:t>
            </w: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Североуральского городского округа</w:t>
            </w:r>
          </w:p>
        </w:tc>
      </w:tr>
      <w:tr w:rsidR="00F44563" w:rsidRPr="001E07DE" w:rsidTr="000700BD">
        <w:trPr>
          <w:trHeight w:val="145"/>
        </w:trPr>
        <w:tc>
          <w:tcPr>
            <w:tcW w:w="568" w:type="dxa"/>
          </w:tcPr>
          <w:p w:rsidR="00F44563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Североуральского городского округа, локальные акты  учреждений культуры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44563" w:rsidRPr="001E07DE" w:rsidTr="000700BD">
        <w:trPr>
          <w:trHeight w:val="145"/>
        </w:trPr>
        <w:tc>
          <w:tcPr>
            <w:tcW w:w="568" w:type="dxa"/>
          </w:tcPr>
          <w:p w:rsidR="00F44563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Внесение изменений в Положение по оплате труда работников муниципальных учреждений культуры Североуральского городского округа</w:t>
            </w: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Решение Думы Североуральского городского округа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44563" w:rsidRPr="001E07DE" w:rsidTr="000700BD">
        <w:trPr>
          <w:trHeight w:val="145"/>
        </w:trPr>
        <w:tc>
          <w:tcPr>
            <w:tcW w:w="568" w:type="dxa"/>
          </w:tcPr>
          <w:p w:rsidR="00F44563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и размеров  заработной платы работников муниципальных учреждений культуры</w:t>
            </w:r>
          </w:p>
        </w:tc>
        <w:tc>
          <w:tcPr>
            <w:tcW w:w="2456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97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F44563" w:rsidRPr="001E07DE" w:rsidRDefault="00F44563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Приведение трудовых договоров с руководителями муниципальных учреждений культуры в соответствие с типовой формой трудового договора 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Трудовые договоры с руководителями учреждений</w:t>
            </w:r>
            <w:r w:rsidRPr="001E0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1E0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представлению руководителем  муниципального учреждения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соответствующей должности 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Трудовые договора с руководителями учреждений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Внедрение типовых отраслевых </w:t>
            </w:r>
            <w:proofErr w:type="gramStart"/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норм труда работников учреждений культуры</w:t>
            </w:r>
            <w:proofErr w:type="gramEnd"/>
            <w:r w:rsidRPr="001E0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Североуральского городского округа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согласно рекомендательным письмам Министерства </w:t>
            </w:r>
            <w:r w:rsidRPr="001E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Свердловской области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культуре и дополнительному образованию Администрации Североуральского </w:t>
            </w:r>
            <w:r w:rsidRPr="001E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расходов на оплату их труда в фонде оплаты труда учреждения – не более 40 %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мониторинга реализации мероприятий по повышению </w:t>
            </w:r>
            <w:proofErr w:type="gramStart"/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оплаты труда работников учреждений культуры</w:t>
            </w:r>
            <w:proofErr w:type="gramEnd"/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Североуральского городского округа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Доклад Главы Североуральского городского округа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на основе целевых показателей деятельности учреждения, совершенствованию </w:t>
            </w:r>
            <w:proofErr w:type="gramStart"/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системы оплаты труда соответствующих категорий работников</w:t>
            </w:r>
            <w:proofErr w:type="gramEnd"/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Приказы руководителей учреждений культуры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кварталы 2013 года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1E07DE">
        <w:trPr>
          <w:trHeight w:val="145"/>
        </w:trPr>
        <w:tc>
          <w:tcPr>
            <w:tcW w:w="10207" w:type="dxa"/>
            <w:gridSpan w:val="5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2. Развитие кадрового потенциала работников учреждений культуры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Локальные акты учреждений культуры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по заключению дополнительных соглашений к трудовым договорам (новых трудовых договоров) в связи с введением эффективного контракта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Приказы руководителей учреждений культуры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1E07DE">
        <w:trPr>
          <w:trHeight w:val="145"/>
        </w:trPr>
        <w:tc>
          <w:tcPr>
            <w:tcW w:w="10207" w:type="dxa"/>
            <w:gridSpan w:val="5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Сопровождение «дорожной карты»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Информационное сопровождение «дорожной карты»: организация проведения разъяснительной работы в трудовых коллективах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14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отчета по исполнению «дорожной карты»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(в установленный срок)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0A3342" w:rsidRPr="001E07DE" w:rsidTr="000700BD">
        <w:trPr>
          <w:trHeight w:val="2535"/>
        </w:trPr>
        <w:tc>
          <w:tcPr>
            <w:tcW w:w="5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</w:t>
            </w:r>
            <w:r w:rsidR="005D645D"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</w:t>
            </w: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орожную карту»</w:t>
            </w:r>
          </w:p>
        </w:tc>
        <w:tc>
          <w:tcPr>
            <w:tcW w:w="2456" w:type="dxa"/>
          </w:tcPr>
          <w:p w:rsidR="000A3342" w:rsidRPr="001E07DE" w:rsidRDefault="000A3342" w:rsidP="001E07DE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 Администрации Североуральского городского округа</w:t>
            </w:r>
          </w:p>
        </w:tc>
        <w:tc>
          <w:tcPr>
            <w:tcW w:w="1797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A3342" w:rsidRPr="001E07DE" w:rsidRDefault="000A3342" w:rsidP="001E07DE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E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</w:tbl>
    <w:p w:rsidR="00737D97" w:rsidRPr="001E07DE" w:rsidRDefault="00737D97" w:rsidP="001E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D97" w:rsidRPr="001E07DE" w:rsidSect="00B37FEC">
      <w:headerReference w:type="default" r:id="rId9"/>
      <w:pgSz w:w="11906" w:h="16838"/>
      <w:pgMar w:top="794" w:right="567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6D" w:rsidRDefault="0015166D" w:rsidP="00FC6A5D">
      <w:pPr>
        <w:spacing w:after="0" w:line="240" w:lineRule="auto"/>
      </w:pPr>
      <w:r>
        <w:separator/>
      </w:r>
    </w:p>
  </w:endnote>
  <w:endnote w:type="continuationSeparator" w:id="0">
    <w:p w:rsidR="0015166D" w:rsidRDefault="0015166D" w:rsidP="00FC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6D" w:rsidRDefault="0015166D" w:rsidP="00FC6A5D">
      <w:pPr>
        <w:spacing w:after="0" w:line="240" w:lineRule="auto"/>
      </w:pPr>
      <w:r>
        <w:separator/>
      </w:r>
    </w:p>
  </w:footnote>
  <w:footnote w:type="continuationSeparator" w:id="0">
    <w:p w:rsidR="0015166D" w:rsidRDefault="0015166D" w:rsidP="00FC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78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7FEC" w:rsidRPr="00B37FEC" w:rsidRDefault="00B37FE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37FEC">
          <w:rPr>
            <w:rFonts w:ascii="Times New Roman" w:hAnsi="Times New Roman" w:cs="Times New Roman"/>
            <w:sz w:val="24"/>
          </w:rPr>
          <w:fldChar w:fldCharType="begin"/>
        </w:r>
        <w:r w:rsidRPr="00B37FEC">
          <w:rPr>
            <w:rFonts w:ascii="Times New Roman" w:hAnsi="Times New Roman" w:cs="Times New Roman"/>
            <w:sz w:val="24"/>
          </w:rPr>
          <w:instrText>PAGE   \* MERGEFORMAT</w:instrText>
        </w:r>
        <w:r w:rsidRPr="00B37FEC">
          <w:rPr>
            <w:rFonts w:ascii="Times New Roman" w:hAnsi="Times New Roman" w:cs="Times New Roman"/>
            <w:sz w:val="24"/>
          </w:rPr>
          <w:fldChar w:fldCharType="separate"/>
        </w:r>
        <w:r w:rsidR="000700BD">
          <w:rPr>
            <w:rFonts w:ascii="Times New Roman" w:hAnsi="Times New Roman" w:cs="Times New Roman"/>
            <w:noProof/>
            <w:sz w:val="24"/>
          </w:rPr>
          <w:t>4</w:t>
        </w:r>
        <w:r w:rsidRPr="00B37F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7FEC" w:rsidRPr="00B37FEC" w:rsidRDefault="00B37FEC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EFA"/>
    <w:multiLevelType w:val="hybridMultilevel"/>
    <w:tmpl w:val="D466FC3C"/>
    <w:lvl w:ilvl="0" w:tplc="D7384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D97"/>
    <w:rsid w:val="000700BD"/>
    <w:rsid w:val="000755E7"/>
    <w:rsid w:val="000A3342"/>
    <w:rsid w:val="0015166D"/>
    <w:rsid w:val="001E07DE"/>
    <w:rsid w:val="00226666"/>
    <w:rsid w:val="00236250"/>
    <w:rsid w:val="003F22A0"/>
    <w:rsid w:val="0054017D"/>
    <w:rsid w:val="005854C0"/>
    <w:rsid w:val="005D645D"/>
    <w:rsid w:val="00737D97"/>
    <w:rsid w:val="00754120"/>
    <w:rsid w:val="008A6DAB"/>
    <w:rsid w:val="00945231"/>
    <w:rsid w:val="009D0A80"/>
    <w:rsid w:val="00A15A7D"/>
    <w:rsid w:val="00A40C22"/>
    <w:rsid w:val="00B17252"/>
    <w:rsid w:val="00B37FEC"/>
    <w:rsid w:val="00CF0EC2"/>
    <w:rsid w:val="00CF3E1C"/>
    <w:rsid w:val="00D2179C"/>
    <w:rsid w:val="00E037F1"/>
    <w:rsid w:val="00F06062"/>
    <w:rsid w:val="00F44563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D"/>
  </w:style>
  <w:style w:type="paragraph" w:styleId="1">
    <w:name w:val="heading 1"/>
    <w:basedOn w:val="a"/>
    <w:next w:val="a"/>
    <w:link w:val="10"/>
    <w:qFormat/>
    <w:rsid w:val="00737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7D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37D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D9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37D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37D97"/>
    <w:rPr>
      <w:rFonts w:ascii="Times New Roman" w:eastAsia="Times New Roman" w:hAnsi="Times New Roman" w:cs="Times New Roman"/>
      <w:sz w:val="44"/>
      <w:szCs w:val="24"/>
    </w:rPr>
  </w:style>
  <w:style w:type="table" w:styleId="a3">
    <w:name w:val="Table Grid"/>
    <w:basedOn w:val="a1"/>
    <w:uiPriority w:val="59"/>
    <w:rsid w:val="00CF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A5D"/>
  </w:style>
  <w:style w:type="paragraph" w:styleId="a7">
    <w:name w:val="footer"/>
    <w:basedOn w:val="a"/>
    <w:link w:val="a8"/>
    <w:uiPriority w:val="99"/>
    <w:unhideWhenUsed/>
    <w:rsid w:val="00F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3843-73F6-4A88-B6DE-2E3394C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2013-08-12T04:07:00Z</cp:lastPrinted>
  <dcterms:created xsi:type="dcterms:W3CDTF">2013-08-08T04:47:00Z</dcterms:created>
  <dcterms:modified xsi:type="dcterms:W3CDTF">2013-08-19T03:26:00Z</dcterms:modified>
</cp:coreProperties>
</file>