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  <w:gridCol w:w="4218"/>
      </w:tblGrid>
      <w:tr w:rsidR="00EF6C6D" w:rsidRPr="00CE0951" w:rsidTr="009F1429">
        <w:tc>
          <w:tcPr>
            <w:tcW w:w="4928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Pr="00EF6C6D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18" w:type="dxa"/>
          </w:tcPr>
          <w:p w:rsidR="002E0112" w:rsidRDefault="00EF6C6D" w:rsidP="002E0112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  <w:r w:rsidRPr="00EF6C6D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 xml:space="preserve">Приложение </w:t>
            </w:r>
            <w:r w:rsidR="002E0112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>№1</w:t>
            </w:r>
          </w:p>
          <w:p w:rsidR="00EF6C6D" w:rsidRPr="00EF6C6D" w:rsidRDefault="002E0112" w:rsidP="002E0112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  <w:r w:rsidRPr="00EF6C6D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>к</w:t>
            </w:r>
            <w:r w:rsidRPr="002E0112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/>
              </w:rPr>
              <w:t xml:space="preserve"> сводной Аналитической записке</w:t>
            </w:r>
            <w:r w:rsidRPr="002E011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об оценке эффективности налоговых расходов</w:t>
            </w:r>
            <w:r w:rsidR="008D234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Североуральского городского округа</w:t>
            </w:r>
            <w:r w:rsidR="00CE0951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за 2021</w:t>
            </w:r>
            <w:r w:rsidRPr="002E011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EF6C6D" w:rsidRPr="00CE0951" w:rsidTr="009F1429">
        <w:tc>
          <w:tcPr>
            <w:tcW w:w="4928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18" w:type="dxa"/>
          </w:tcPr>
          <w:p w:rsidR="002E0112" w:rsidRPr="002E0112" w:rsidRDefault="002E0112" w:rsidP="002E011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EF6C6D" w:rsidRPr="00EF6C6D" w:rsidRDefault="00EF6C6D" w:rsidP="00AE3948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</w:tr>
    </w:tbl>
    <w:p w:rsidR="00D068E4" w:rsidRPr="00466168" w:rsidRDefault="00D068E4" w:rsidP="00AE3948">
      <w:pPr>
        <w:shd w:val="clear" w:color="auto" w:fill="FFFFFF"/>
        <w:jc w:val="right"/>
        <w:textAlignment w:val="baseline"/>
        <w:rPr>
          <w:rFonts w:ascii="PT Astra Serif" w:hAnsi="PT Astra Serif" w:cs="Arial"/>
          <w:spacing w:val="1"/>
          <w:sz w:val="28"/>
          <w:szCs w:val="28"/>
          <w:highlight w:val="green"/>
          <w:lang w:val="ru-RU" w:eastAsia="ru-RU" w:bidi="ar-SA"/>
        </w:rPr>
      </w:pPr>
    </w:p>
    <w:p w:rsidR="00D068E4" w:rsidRPr="00EF6C6D" w:rsidRDefault="00D068E4" w:rsidP="00AE3948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Отчет об оценке эффективности налоговых расходов за оцениваемый год </w:t>
      </w:r>
    </w:p>
    <w:p w:rsidR="00D068E4" w:rsidRPr="00EF6C6D" w:rsidRDefault="00D068E4" w:rsidP="00AE3948">
      <w:pPr>
        <w:shd w:val="clear" w:color="auto" w:fill="FFFFFF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</w: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  <w:t>Форма</w:t>
      </w:r>
    </w:p>
    <w:p w:rsidR="00D068E4" w:rsidRPr="00EF6C6D" w:rsidRDefault="00D068E4" w:rsidP="00AE3948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ЗА </w:t>
      </w:r>
      <w:r w:rsidR="0062138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ОЦЕНИВАЕМЫЙ </w:t>
      </w:r>
      <w:r w:rsidR="00CE0951">
        <w:rPr>
          <w:rFonts w:ascii="PT Astra Serif" w:hAnsi="PT Astra Serif" w:cs="Arial"/>
          <w:b/>
          <w:spacing w:val="1"/>
          <w:sz w:val="28"/>
          <w:szCs w:val="28"/>
          <w:lang w:val="ru-RU" w:eastAsia="ru-RU" w:bidi="ar-SA"/>
        </w:rPr>
        <w:t>2021</w:t>
      </w:r>
      <w:r w:rsidR="00DA2F4F">
        <w:rPr>
          <w:rFonts w:ascii="PT Astra Serif" w:hAnsi="PT Astra Serif" w:cs="Arial"/>
          <w:b/>
          <w:spacing w:val="1"/>
          <w:sz w:val="28"/>
          <w:szCs w:val="28"/>
          <w:lang w:val="ru-RU" w:eastAsia="ru-RU" w:bidi="ar-SA"/>
        </w:rPr>
        <w:t xml:space="preserve"> год</w:t>
      </w:r>
    </w:p>
    <w:p w:rsidR="00D068E4" w:rsidRPr="00EF6C6D" w:rsidRDefault="00D068E4" w:rsidP="00AE3948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(в разрезе налогоплательщиков - льготополучателей)</w:t>
      </w: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3661"/>
        <w:gridCol w:w="1843"/>
        <w:gridCol w:w="1843"/>
        <w:gridCol w:w="1275"/>
        <w:gridCol w:w="1134"/>
        <w:gridCol w:w="743"/>
        <w:gridCol w:w="579"/>
        <w:gridCol w:w="981"/>
        <w:gridCol w:w="2800"/>
      </w:tblGrid>
      <w:tr w:rsidR="00C325C7" w:rsidRPr="000D149C" w:rsidTr="0057168A">
        <w:trPr>
          <w:trHeight w:val="12"/>
        </w:trPr>
        <w:tc>
          <w:tcPr>
            <w:tcW w:w="450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61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dxa"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1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0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</w:tr>
      <w:tr w:rsidR="00C325C7" w:rsidRPr="00CE0951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Наименование налоговой льготы, льготная ставка,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Наименование муниципальной программы, включенной в Перечень муниципальных программ, с указанием показателя (целевого индикатора) и объема предоста</w:t>
            </w:r>
            <w:r w:rsidR="00AE3948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вленных налоговых расходов, тысяч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руб</w:t>
            </w:r>
            <w:r w:rsidR="00AE3948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Сумма недополученных доходов бюджета Североуральского городского округа по каждому 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налогоплательщику-льготополучателю</w:t>
            </w:r>
            <w:proofErr w:type="spellEnd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и в целом по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категории льгот, тысяч рублей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Показатель</w:t>
            </w:r>
            <w:r w:rsidR="00C325C7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бюджетной эффективности налоговых расходов</w:t>
            </w:r>
          </w:p>
          <w:p w:rsidR="00C325C7" w:rsidRPr="00426DA4" w:rsidRDefault="00C325C7" w:rsidP="00AE3948">
            <w:pPr>
              <w:pStyle w:val="ConsPlusNormal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</w:rPr>
              <w:t>КБ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pStyle w:val="ConsPlusNormal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</w:rPr>
              <w:t>Показател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ь</w:t>
            </w:r>
            <w:r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социальной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эффективности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налогового расхода (КС)***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7" w:rsidRPr="00426DA4" w:rsidRDefault="008A25D4" w:rsidP="008C0EC2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Показатель экономической эффективност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и налогового расхода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 (КЭ)****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29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Показатель совокупной эффективности 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налогового расхода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К</w:t>
            </w:r>
            <w:r w:rsidRPr="00426DA4">
              <w:rPr>
                <w:rFonts w:ascii="PT Astra Serif" w:hAnsi="PT Astra Serif"/>
                <w:b/>
                <w:sz w:val="16"/>
                <w:szCs w:val="16"/>
                <w:vertAlign w:val="subscript"/>
                <w:lang w:val="ru-RU"/>
              </w:rPr>
              <w:t>эфф</w:t>
            </w:r>
            <w:proofErr w:type="spellEnd"/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)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*****</w:t>
            </w:r>
          </w:p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(гр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 6+гр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7 +гр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8)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C325C7" w:rsidRPr="00426DA4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8A25D4" w:rsidRPr="00CE0951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8C3B09" w:rsidP="0019737C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Граждане, достигшие возраста 60 и 55 лет (соответственно мужчины и женщины</w:t>
            </w:r>
            <w:r w:rsidR="0019737C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)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, за земли, занятые индивидуальными жилыми домами,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личными подсобными хозяйствами (приусадебными участками), садовыми участками в коллективных садах и под гаражами (гаражными боксами)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8C3B09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 xml:space="preserve">Граждане, достигшие возраста 60 и 55 лет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(соответственно мужчины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19737C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 xml:space="preserve">Муниципальная программа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="007F7B7A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Дополнительные меры </w:t>
            </w:r>
            <w:r w:rsidR="007F7B7A"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социальной поддержки отдельных категорий граждан Североуральского городского округа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0D149C" w:rsidP="00CE0951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8</w:t>
            </w:r>
            <w:r w:rsidR="00CE0951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B7A" w:rsidRPr="00426DA4" w:rsidRDefault="007F7B7A" w:rsidP="007F7B7A">
            <w:pPr>
              <w:pStyle w:val="ConsPlusNormal"/>
              <w:ind w:hanging="7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>КБ = НП / НЛ, где:</w:t>
            </w:r>
          </w:p>
          <w:p w:rsidR="007F7B7A" w:rsidRPr="00426DA4" w:rsidRDefault="007F7B7A" w:rsidP="007F7B7A">
            <w:pPr>
              <w:pStyle w:val="ConsPlusNormal"/>
              <w:ind w:firstLine="851"/>
              <w:jc w:val="both"/>
              <w:rPr>
                <w:rFonts w:ascii="PT Astra Serif" w:hAnsi="PT Astra Serif"/>
              </w:rPr>
            </w:pP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 xml:space="preserve">НП = 0 </w:t>
            </w: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lastRenderedPageBreak/>
              <w:t xml:space="preserve">НЛ = </w:t>
            </w:r>
            <w:r w:rsidR="008D6B50">
              <w:rPr>
                <w:rFonts w:ascii="PT Astra Serif" w:hAnsi="PT Astra Serif"/>
              </w:rPr>
              <w:t>8</w:t>
            </w:r>
            <w:r w:rsidR="00CE0951">
              <w:rPr>
                <w:rFonts w:ascii="PT Astra Serif" w:hAnsi="PT Astra Serif"/>
              </w:rPr>
              <w:t>93</w:t>
            </w:r>
            <w:r w:rsidRPr="00426DA4">
              <w:rPr>
                <w:rFonts w:ascii="PT Astra Serif" w:hAnsi="PT Astra Serif"/>
              </w:rPr>
              <w:t xml:space="preserve"> тыс. рублей,</w:t>
            </w: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>КБ=0</w:t>
            </w:r>
          </w:p>
          <w:p w:rsidR="008A25D4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1. </w:t>
            </w:r>
            <w:r w:rsidR="00564404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Налоговые расходы </w:t>
            </w:r>
            <w:r w:rsidR="00E1697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налогового расхода равен нулю.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8A25D4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2. В связи с тем, что льгота является социальной,  </w:t>
            </w:r>
            <w:r w:rsidR="00E1697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предлагается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сохранить указанную льготу </w:t>
            </w:r>
          </w:p>
        </w:tc>
      </w:tr>
      <w:tr w:rsidR="00C3325B" w:rsidRPr="00CE0951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19737C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Муниципальная программа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Совершенствование социально-экономической политики в Североуральском городском округе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, подпрограмма 2: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Развитие и поддержка малого и среднего предпринимательства </w:t>
            </w: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в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Североуральском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городском округе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1. Налоговые расходы 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налогового расхода равен нулю.</w:t>
            </w:r>
          </w:p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2. В связи с тем, что льгота является не только стимулирующей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но и социальной,  предлагается сохранить указанную льготу </w:t>
            </w:r>
          </w:p>
        </w:tc>
      </w:tr>
      <w:tr w:rsidR="00C3325B" w:rsidRPr="00426DA4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Добровольные пожарным, сведения о которых содержатся в сводном реестре добровольных пожарных три и более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19737C">
            <w:pPr>
              <w:pStyle w:val="ConsPlusNormal"/>
              <w:rPr>
                <w:rFonts w:ascii="PT Astra Serif" w:hAnsi="PT Astra Serif" w:cs="Times New Roman"/>
              </w:rPr>
            </w:pPr>
            <w:r w:rsidRPr="00426DA4">
              <w:rPr>
                <w:rFonts w:ascii="PT Astra Serif" w:hAnsi="PT Astra Serif" w:cs="Times New Roman"/>
              </w:rPr>
              <w:t xml:space="preserve">Муниципальная программа </w:t>
            </w:r>
            <w:r w:rsidR="0062138D" w:rsidRPr="00426DA4">
              <w:rPr>
                <w:rFonts w:ascii="PT Astra Serif" w:hAnsi="PT Astra Serif" w:cs="Times New Roman"/>
              </w:rPr>
              <w:t>«</w:t>
            </w:r>
            <w:r w:rsidRPr="00426DA4">
              <w:rPr>
                <w:rFonts w:ascii="PT Astra Serif" w:hAnsi="PT Astra Serif" w:cs="Times New Roman"/>
              </w:rPr>
              <w:t xml:space="preserve"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</w:t>
            </w:r>
            <w:r w:rsidRPr="00426DA4">
              <w:rPr>
                <w:rFonts w:ascii="PT Astra Serif" w:hAnsi="PT Astra Serif" w:cs="Times New Roman"/>
              </w:rPr>
              <w:lastRenderedPageBreak/>
              <w:t>характера, обеспечение пожарной безопасности и безопасности людей на водных объектах</w:t>
            </w:r>
            <w:r w:rsidR="0062138D" w:rsidRPr="00426DA4">
              <w:rPr>
                <w:rFonts w:ascii="PT Astra Serif" w:hAnsi="PT Astra Serif" w:cs="Times New Roman"/>
              </w:rPr>
              <w:t>»</w:t>
            </w:r>
            <w:r w:rsidRPr="00426DA4">
              <w:rPr>
                <w:rFonts w:ascii="PT Astra Serif" w:hAnsi="PT Astra Serif"/>
              </w:rPr>
              <w:t xml:space="preserve">, </w:t>
            </w:r>
            <w:r w:rsidRPr="00426DA4">
              <w:rPr>
                <w:rFonts w:ascii="PT Astra Serif" w:hAnsi="PT Astra Serif" w:cs="Times New Roman"/>
              </w:rPr>
              <w:t xml:space="preserve">Подпрограмма 2: </w:t>
            </w:r>
            <w:r w:rsidR="0062138D" w:rsidRPr="00426DA4">
              <w:rPr>
                <w:rFonts w:ascii="PT Astra Serif" w:hAnsi="PT Astra Serif" w:cs="Times New Roman"/>
              </w:rPr>
              <w:t>«</w:t>
            </w:r>
            <w:r w:rsidRPr="00426DA4">
              <w:rPr>
                <w:rFonts w:ascii="PT Astra Serif" w:hAnsi="PT Astra Serif" w:cs="Times New Roman"/>
              </w:rPr>
              <w:t xml:space="preserve">Развитие и поддержка малого и среднего предпринимательства </w:t>
            </w:r>
            <w:proofErr w:type="gramStart"/>
            <w:r w:rsidRPr="00426DA4">
              <w:rPr>
                <w:rFonts w:ascii="PT Astra Serif" w:hAnsi="PT Astra Serif" w:cs="Times New Roman"/>
              </w:rPr>
              <w:t>в</w:t>
            </w:r>
            <w:proofErr w:type="gramEnd"/>
            <w:r w:rsidRPr="00426DA4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426DA4">
              <w:rPr>
                <w:rFonts w:ascii="PT Astra Serif" w:hAnsi="PT Astra Serif" w:cs="Times New Roman"/>
              </w:rPr>
              <w:t>Североуральском</w:t>
            </w:r>
            <w:proofErr w:type="gramEnd"/>
            <w:r w:rsidRPr="00426DA4">
              <w:rPr>
                <w:rFonts w:ascii="PT Astra Serif" w:hAnsi="PT Astra Serif" w:cs="Times New Roman"/>
              </w:rPr>
              <w:t xml:space="preserve"> городском округе</w:t>
            </w:r>
            <w:r w:rsidR="0062138D" w:rsidRPr="00426DA4">
              <w:rPr>
                <w:rFonts w:ascii="PT Astra Serif" w:hAnsi="PT Astra Serif" w:cs="Times New Roman"/>
              </w:rPr>
              <w:t>»</w:t>
            </w:r>
          </w:p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1. Налоговые расходы 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налогового расхода равен нулю.</w:t>
            </w:r>
          </w:p>
          <w:p w:rsidR="0062138D" w:rsidRPr="00426DA4" w:rsidRDefault="00C3325B" w:rsidP="006213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2. </w:t>
            </w:r>
            <w:proofErr w:type="gramStart"/>
            <w:r w:rsidR="0062138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В соответствии с </w:t>
            </w:r>
            <w:r w:rsidR="0062138D" w:rsidRPr="00426DA4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 xml:space="preserve">Федеральным законом от 06.05.2011 N 100-ФЗ «О добровольной пожарной охране» органы местного самоуправления обеспечивают соблюдение прав и законных интересов добровольных пожарных, </w:t>
            </w:r>
            <w:r w:rsidR="0062138D" w:rsidRPr="00426DA4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lastRenderedPageBreak/>
              <w:t>предусматривают систему мер правовой и социальной защиты добровольных пожарных,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      </w:r>
            <w:proofErr w:type="gramEnd"/>
          </w:p>
          <w:p w:rsidR="0062138D" w:rsidRPr="00426DA4" w:rsidRDefault="0062138D" w:rsidP="006213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</w:pPr>
          </w:p>
          <w:p w:rsidR="00C3325B" w:rsidRPr="00426DA4" w:rsidRDefault="0062138D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  <w:r w:rsidR="00C3325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Предлагается сохранить указанную льготу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</w:t>
            </w:r>
            <w:r w:rsidR="00C3325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D068E4" w:rsidRPr="009F1429" w:rsidRDefault="00D068E4" w:rsidP="001207B2">
      <w:pPr>
        <w:shd w:val="clear" w:color="auto" w:fill="FFFFFF"/>
        <w:ind w:firstLine="851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lastRenderedPageBreak/>
        <w:t xml:space="preserve">* - сумма разницы между полной суммой налога и фактически перечисленной в бюджет </w:t>
      </w:r>
      <w:r w:rsidR="003C1BE3"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Североуральского городского округа</w:t>
      </w:r>
      <w:r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налогоплательщиком - льготополучателем с применением льготной ставки.</w:t>
      </w:r>
    </w:p>
    <w:p w:rsidR="008A25D4" w:rsidRPr="009F1429" w:rsidRDefault="008A25D4" w:rsidP="001207B2">
      <w:pPr>
        <w:shd w:val="clear" w:color="auto" w:fill="FFFFFF"/>
        <w:ind w:firstLine="851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9F1429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** - </w:t>
      </w:r>
      <w:r w:rsidR="009F1429" w:rsidRPr="009F1429">
        <w:rPr>
          <w:rFonts w:ascii="PT Astra Serif" w:hAnsi="PT Astra Serif"/>
          <w:sz w:val="28"/>
          <w:szCs w:val="28"/>
        </w:rPr>
        <w:t>бюджетная эффективность налогового расхода (КБ) рассчитывается по формуле: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КБ = НП / НЛ, где: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НП - объем поступлений налогов в бюджет Североуральского городского округа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НЛ - объем налоговых льгот за отчетный (планируемый) год, предоставленных в соответствии с решениями Думы Североуральского городского округа о местных налогах (по данным налогоплательщиков и налоговых органов), тыс. рублей.</w:t>
      </w:r>
    </w:p>
    <w:p w:rsid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Бюджетная эффективность налогового расхода признается достаточной при значении КБ &gt;= 1,0. При значении КБ меньше 1,0 бюджетная эффективность налогового расхода </w:t>
      </w:r>
      <w:r w:rsidR="001207B2">
        <w:rPr>
          <w:rFonts w:ascii="PT Astra Serif" w:hAnsi="PT Astra Serif"/>
          <w:sz w:val="28"/>
          <w:szCs w:val="28"/>
        </w:rPr>
        <w:t>признается недостаточной.</w:t>
      </w:r>
    </w:p>
    <w:p w:rsidR="001207B2" w:rsidRPr="009F1429" w:rsidRDefault="001207B2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*** - </w:t>
      </w:r>
      <w:r w:rsidR="008C0EC2">
        <w:rPr>
          <w:rFonts w:ascii="PT Astra Serif" w:hAnsi="PT Astra Serif"/>
          <w:sz w:val="28"/>
          <w:szCs w:val="28"/>
        </w:rPr>
        <w:t>социальная</w:t>
      </w:r>
      <w:r w:rsidRPr="009F1429">
        <w:rPr>
          <w:rFonts w:ascii="PT Astra Serif" w:hAnsi="PT Astra Serif"/>
          <w:sz w:val="28"/>
          <w:szCs w:val="28"/>
        </w:rPr>
        <w:t xml:space="preserve"> эффективность налогового расхода (КС)*** рассчитывается с учетом динамики следующих показателей: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lastRenderedPageBreak/>
        <w:t>создание новых рабочих мест, единиц;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среднемесячная заработная плата работников списочного состава,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количество работников, повысивших квалификацию, 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медицинское обслуживание работников,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улучшение условий и охраны труда,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повышение экологической безопасности,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количество трудоустроенных человек, нуждающихся в социальной защите, 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благотворительность, спонсорство на территории Североуральского городского округа,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наличие соглашения о сотрудничестве с Администрацией Североуральского городского округа и фактически реализованные мероприятия, тыс. рублей.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Социальная эффективность налоговых расходов признается достаточной при значении КС &gt;= 3,0. При значении КС меньше 3,0 социальная эффективность налоговых расходов </w:t>
      </w:r>
      <w:r w:rsidR="001207B2">
        <w:rPr>
          <w:rFonts w:ascii="PT Astra Serif" w:hAnsi="PT Astra Serif"/>
          <w:sz w:val="28"/>
          <w:szCs w:val="28"/>
        </w:rPr>
        <w:t>признается недостаточной.</w:t>
      </w:r>
    </w:p>
    <w:p w:rsidR="008A25D4" w:rsidRPr="009F1429" w:rsidRDefault="00FC78DB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**** -</w:t>
      </w:r>
      <w:r w:rsidR="008A25D4" w:rsidRPr="009F1429">
        <w:rPr>
          <w:rFonts w:ascii="PT Astra Serif" w:hAnsi="PT Astra Serif"/>
          <w:sz w:val="28"/>
          <w:szCs w:val="28"/>
        </w:rPr>
        <w:t xml:space="preserve"> экономическая эффективность налоговых расходов (КЭ) рассчитывается с учетом динамики следующих показателей: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производительность труда, тыс. рублей/человек;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выручка от реализации товаров (работ, услуг) без учета налога на добавленную стоимость, акцизов,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объем отгруженных товаров собственного производства, выполненных работ (услуг) без учета налога на добавленную стоимость,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прибыль (убыток) до налогообложения,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сумма капитальных вложений (инвестиции в основной капитал),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среднегодовая стоимость основных средств,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коэффициент обновления основных фондов, процентов.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Экономическая эффективность налоговых расходов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A25D4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Экономическая эффективность налоговых расходов признается достаточной при значении КЭ &gt;= 3,0. При значении КЭ меньше 3,0 экономическая эффективность налоговых расходов признается н</w:t>
      </w:r>
      <w:r w:rsidR="001207B2">
        <w:rPr>
          <w:rFonts w:ascii="PT Astra Serif" w:hAnsi="PT Astra Serif"/>
          <w:sz w:val="28"/>
          <w:szCs w:val="28"/>
        </w:rPr>
        <w:t>едостаточной.</w:t>
      </w:r>
    </w:p>
    <w:p w:rsidR="001207B2" w:rsidRPr="009F1429" w:rsidRDefault="001207B2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***** - совокупная эффективность налоговых расходов (</w:t>
      </w: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 xml:space="preserve">) рассчитывается для всех категорий </w:t>
      </w:r>
      <w:r w:rsidRPr="009F1429">
        <w:rPr>
          <w:rFonts w:ascii="PT Astra Serif" w:hAnsi="PT Astra Serif"/>
          <w:sz w:val="28"/>
          <w:szCs w:val="28"/>
        </w:rPr>
        <w:lastRenderedPageBreak/>
        <w:t>налогоплательщиков по формуле: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 xml:space="preserve"> = КБ + КС + КЭ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Для налогоплательщиков, применяющих налоговые льготы, совокупная эффективность налоговых расходов признается достаточной при значении </w:t>
      </w: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 xml:space="preserve"> &gt;= 7,0.</w:t>
      </w:r>
    </w:p>
    <w:p w:rsidR="00ED31EF" w:rsidRPr="009F1429" w:rsidRDefault="00ED31EF" w:rsidP="001207B2">
      <w:pPr>
        <w:ind w:firstLine="851"/>
        <w:rPr>
          <w:rFonts w:ascii="PT Astra Serif" w:hAnsi="PT Astra Serif"/>
          <w:sz w:val="28"/>
          <w:szCs w:val="28"/>
          <w:lang w:val="ru-RU"/>
        </w:rPr>
      </w:pPr>
    </w:p>
    <w:sectPr w:rsidR="00ED31EF" w:rsidRPr="009F1429" w:rsidSect="003C15E6">
      <w:headerReference w:type="default" r:id="rId6"/>
      <w:pgSz w:w="16838" w:h="11906" w:orient="landscape"/>
      <w:pgMar w:top="1418" w:right="1134" w:bottom="566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7A" w:rsidRDefault="00990B7A" w:rsidP="003C15E6">
      <w:r>
        <w:separator/>
      </w:r>
    </w:p>
  </w:endnote>
  <w:endnote w:type="continuationSeparator" w:id="0">
    <w:p w:rsidR="00990B7A" w:rsidRDefault="00990B7A" w:rsidP="003C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7A" w:rsidRDefault="00990B7A" w:rsidP="003C15E6">
      <w:r>
        <w:separator/>
      </w:r>
    </w:p>
  </w:footnote>
  <w:footnote w:type="continuationSeparator" w:id="0">
    <w:p w:rsidR="00990B7A" w:rsidRDefault="00990B7A" w:rsidP="003C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75"/>
      <w:docPartObj>
        <w:docPartGallery w:val="Page Numbers (Top of Page)"/>
        <w:docPartUnique/>
      </w:docPartObj>
    </w:sdtPr>
    <w:sdtContent>
      <w:p w:rsidR="0093341B" w:rsidRDefault="00337100">
        <w:pPr>
          <w:pStyle w:val="af7"/>
          <w:jc w:val="center"/>
        </w:pPr>
        <w:fldSimple w:instr=" PAGE   \* MERGEFORMAT ">
          <w:r w:rsidR="00CE0951">
            <w:rPr>
              <w:noProof/>
            </w:rPr>
            <w:t>10</w:t>
          </w:r>
        </w:fldSimple>
      </w:p>
    </w:sdtContent>
  </w:sdt>
  <w:p w:rsidR="003C15E6" w:rsidRPr="003C15E6" w:rsidRDefault="003C15E6">
    <w:pPr>
      <w:pStyle w:val="af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068E4"/>
    <w:rsid w:val="00011FAD"/>
    <w:rsid w:val="00091C57"/>
    <w:rsid w:val="00096842"/>
    <w:rsid w:val="000B0760"/>
    <w:rsid w:val="000D149C"/>
    <w:rsid w:val="000D2F83"/>
    <w:rsid w:val="001207B2"/>
    <w:rsid w:val="00121BF4"/>
    <w:rsid w:val="00122D8A"/>
    <w:rsid w:val="001517D2"/>
    <w:rsid w:val="00175973"/>
    <w:rsid w:val="001869AE"/>
    <w:rsid w:val="0019737C"/>
    <w:rsid w:val="001D27F2"/>
    <w:rsid w:val="00242A9C"/>
    <w:rsid w:val="00270210"/>
    <w:rsid w:val="002E0112"/>
    <w:rsid w:val="00305F27"/>
    <w:rsid w:val="00337100"/>
    <w:rsid w:val="00382D2E"/>
    <w:rsid w:val="00384A8A"/>
    <w:rsid w:val="003C15E6"/>
    <w:rsid w:val="003C1BE3"/>
    <w:rsid w:val="00426DA4"/>
    <w:rsid w:val="00466168"/>
    <w:rsid w:val="00486737"/>
    <w:rsid w:val="00490A7E"/>
    <w:rsid w:val="0051299D"/>
    <w:rsid w:val="00525BBE"/>
    <w:rsid w:val="00564404"/>
    <w:rsid w:val="0057168A"/>
    <w:rsid w:val="005A75E8"/>
    <w:rsid w:val="005B3CD0"/>
    <w:rsid w:val="0062138D"/>
    <w:rsid w:val="00622887"/>
    <w:rsid w:val="00624730"/>
    <w:rsid w:val="0069198F"/>
    <w:rsid w:val="00691BA4"/>
    <w:rsid w:val="006D67CE"/>
    <w:rsid w:val="007651BE"/>
    <w:rsid w:val="007C52FD"/>
    <w:rsid w:val="007F7B7A"/>
    <w:rsid w:val="00860EF1"/>
    <w:rsid w:val="00873083"/>
    <w:rsid w:val="00877004"/>
    <w:rsid w:val="00884EBB"/>
    <w:rsid w:val="008A25D4"/>
    <w:rsid w:val="008B4E52"/>
    <w:rsid w:val="008C0EC2"/>
    <w:rsid w:val="008C3B09"/>
    <w:rsid w:val="008D2342"/>
    <w:rsid w:val="008D6B50"/>
    <w:rsid w:val="00916892"/>
    <w:rsid w:val="00932E61"/>
    <w:rsid w:val="0093341B"/>
    <w:rsid w:val="00990B7A"/>
    <w:rsid w:val="00995DC1"/>
    <w:rsid w:val="009B120C"/>
    <w:rsid w:val="009D2AAE"/>
    <w:rsid w:val="009F1429"/>
    <w:rsid w:val="00A07B1E"/>
    <w:rsid w:val="00A30656"/>
    <w:rsid w:val="00AE3948"/>
    <w:rsid w:val="00BB00CC"/>
    <w:rsid w:val="00BD0ABF"/>
    <w:rsid w:val="00BF02B2"/>
    <w:rsid w:val="00BF47CF"/>
    <w:rsid w:val="00C325C7"/>
    <w:rsid w:val="00C3325B"/>
    <w:rsid w:val="00C46077"/>
    <w:rsid w:val="00CD4353"/>
    <w:rsid w:val="00CE0951"/>
    <w:rsid w:val="00D06675"/>
    <w:rsid w:val="00D068E4"/>
    <w:rsid w:val="00D258C4"/>
    <w:rsid w:val="00DA2F4F"/>
    <w:rsid w:val="00DD1E82"/>
    <w:rsid w:val="00DD7B3A"/>
    <w:rsid w:val="00DF293D"/>
    <w:rsid w:val="00DF49C1"/>
    <w:rsid w:val="00E135E2"/>
    <w:rsid w:val="00E1697B"/>
    <w:rsid w:val="00E236A8"/>
    <w:rsid w:val="00E434EB"/>
    <w:rsid w:val="00ED31EF"/>
    <w:rsid w:val="00EF29D8"/>
    <w:rsid w:val="00EF6C6D"/>
    <w:rsid w:val="00F40BB3"/>
    <w:rsid w:val="00F74D81"/>
    <w:rsid w:val="00F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customStyle="1" w:styleId="headertext">
    <w:name w:val="header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D068E4"/>
    <w:rPr>
      <w:color w:val="0000FF"/>
      <w:u w:val="single"/>
    </w:rPr>
  </w:style>
  <w:style w:type="table" w:styleId="af4">
    <w:name w:val="Table Grid"/>
    <w:basedOn w:val="a1"/>
    <w:uiPriority w:val="59"/>
    <w:rsid w:val="0099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19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98F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DD1E82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rsid w:val="00860EF1"/>
    <w:pPr>
      <w:widowControl w:val="0"/>
      <w:autoSpaceDE w:val="0"/>
      <w:autoSpaceDN w:val="0"/>
    </w:pPr>
    <w:rPr>
      <w:rFonts w:cs="Calibri"/>
      <w:b/>
    </w:rPr>
  </w:style>
  <w:style w:type="paragraph" w:styleId="af7">
    <w:name w:val="header"/>
    <w:basedOn w:val="a"/>
    <w:link w:val="af8"/>
    <w:uiPriority w:val="99"/>
    <w:unhideWhenUsed/>
    <w:rsid w:val="003C15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C15E6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3C15E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C15E6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35</cp:revision>
  <cp:lastPrinted>2021-06-04T03:44:00Z</cp:lastPrinted>
  <dcterms:created xsi:type="dcterms:W3CDTF">2019-12-25T11:33:00Z</dcterms:created>
  <dcterms:modified xsi:type="dcterms:W3CDTF">2023-05-26T05:21:00Z</dcterms:modified>
</cp:coreProperties>
</file>