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6C36E9" w:rsidP="002B1423">
      <w:pPr>
        <w:jc w:val="center"/>
        <w:rPr>
          <w:rFonts w:ascii="PT Astra Serif" w:hAnsi="PT Astra Serif"/>
          <w:b/>
          <w:sz w:val="28"/>
          <w:szCs w:val="28"/>
        </w:rPr>
      </w:pPr>
      <w:r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BC52AE" w:rsidP="0052513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52AE">
        <w:rPr>
          <w:rFonts w:ascii="PT Astra Serif" w:hAnsi="PT Astra Serif"/>
          <w:sz w:val="28"/>
          <w:szCs w:val="28"/>
        </w:rPr>
        <w:t xml:space="preserve">Руководствуясь решениями Думы </w:t>
      </w:r>
      <w:r w:rsidR="00983A14" w:rsidRPr="00983A14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="0052513D">
        <w:rPr>
          <w:rFonts w:ascii="PT Astra Serif" w:hAnsi="PT Astra Serif"/>
          <w:sz w:val="28"/>
          <w:szCs w:val="28"/>
        </w:rPr>
        <w:t xml:space="preserve">                   </w:t>
      </w:r>
      <w:r w:rsidR="00983A14" w:rsidRPr="00983A14">
        <w:rPr>
          <w:rFonts w:ascii="PT Astra Serif" w:hAnsi="PT Astra Serif"/>
          <w:sz w:val="28"/>
          <w:szCs w:val="28"/>
        </w:rPr>
        <w:t>от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Pr="00BC52A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30.11.2022</w:t>
      </w:r>
      <w:r w:rsidRPr="00BC52AE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34</w:t>
      </w:r>
      <w:r w:rsidRPr="00BC52AE">
        <w:rPr>
          <w:rFonts w:ascii="PT Astra Serif" w:hAnsi="PT Astra Serif"/>
          <w:sz w:val="28"/>
          <w:szCs w:val="28"/>
        </w:rPr>
        <w:t xml:space="preserve"> «О внесении изменений в Решение Думы Североуральского городского округа от 22.12.2021 № 94 «О бюджете Североуральского городского округа на 2022 год и плановый период 2023 и 2024 годов»»</w:t>
      </w:r>
      <w:r>
        <w:rPr>
          <w:rFonts w:ascii="PT Astra Serif" w:hAnsi="PT Astra Serif"/>
          <w:sz w:val="28"/>
          <w:szCs w:val="28"/>
        </w:rPr>
        <w:t xml:space="preserve">, </w:t>
      </w:r>
      <w:r w:rsidR="00983A14" w:rsidRPr="009F35C8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983A14" w:rsidRPr="00983A14">
        <w:rPr>
          <w:rFonts w:ascii="PT Astra Serif" w:hAnsi="PT Astra Serif"/>
          <w:sz w:val="28"/>
          <w:szCs w:val="28"/>
        </w:rPr>
        <w:t xml:space="preserve">, </w:t>
      </w:r>
      <w:r w:rsidR="00F90C95" w:rsidRPr="00F90C95">
        <w:rPr>
          <w:rFonts w:ascii="PT Astra Serif" w:hAnsi="PT Astra Serif"/>
          <w:sz w:val="28"/>
          <w:szCs w:val="28"/>
        </w:rPr>
        <w:t>подпункт</w:t>
      </w:r>
      <w:r w:rsidR="00F90C95">
        <w:rPr>
          <w:rFonts w:ascii="PT Astra Serif" w:hAnsi="PT Astra Serif"/>
          <w:sz w:val="28"/>
          <w:szCs w:val="28"/>
        </w:rPr>
        <w:t>ом</w:t>
      </w:r>
      <w:r w:rsidR="00F90C95" w:rsidRPr="00F90C95">
        <w:rPr>
          <w:rFonts w:ascii="PT Astra Serif" w:hAnsi="PT Astra Serif"/>
          <w:sz w:val="28"/>
          <w:szCs w:val="28"/>
        </w:rPr>
        <w:t xml:space="preserve"> </w:t>
      </w:r>
      <w:r w:rsidR="00DC6D12">
        <w:rPr>
          <w:rFonts w:ascii="PT Astra Serif" w:hAnsi="PT Astra Serif"/>
          <w:sz w:val="28"/>
          <w:szCs w:val="28"/>
        </w:rPr>
        <w:t>1</w:t>
      </w:r>
      <w:r w:rsidR="00F90C95" w:rsidRPr="00F90C95">
        <w:rPr>
          <w:rFonts w:ascii="PT Astra Serif" w:hAnsi="PT Astra Serif"/>
          <w:sz w:val="28"/>
          <w:szCs w:val="28"/>
        </w:rPr>
        <w:t xml:space="preserve"> пункта 20 главы 3</w:t>
      </w:r>
      <w:r w:rsidR="00F90C95">
        <w:rPr>
          <w:rFonts w:ascii="PT Astra Serif" w:hAnsi="PT Astra Serif"/>
          <w:sz w:val="28"/>
          <w:szCs w:val="28"/>
        </w:rPr>
        <w:t xml:space="preserve"> постановления</w:t>
      </w:r>
      <w:r w:rsidR="00983A14" w:rsidRPr="00983A14">
        <w:rPr>
          <w:rFonts w:ascii="PT Astra Serif" w:hAnsi="PT Astra Serif"/>
          <w:sz w:val="28"/>
          <w:szCs w:val="28"/>
        </w:rPr>
        <w:t xml:space="preserve"> Администрации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DC6D12" w:rsidRPr="00DC6D12" w:rsidRDefault="00DC6D12" w:rsidP="00DC6D12">
      <w:pPr>
        <w:pStyle w:val="ConsPlusNormal"/>
        <w:numPr>
          <w:ilvl w:val="0"/>
          <w:numId w:val="3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DC6D12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DC6D12">
        <w:rPr>
          <w:rFonts w:ascii="PT Astra Serif" w:hAnsi="PT Astra Serif"/>
          <w:sz w:val="28"/>
          <w:szCs w:val="28"/>
        </w:rPr>
        <w:t xml:space="preserve">» на 2020 – 2025 годы, утвержденную постановлением Администрации Североуральского городского округа от 30.09.2019 № 996,                  с изменениями, внесенными постановлением Администрации Североуральского городского округа от </w:t>
      </w:r>
      <w:r>
        <w:rPr>
          <w:rFonts w:ascii="PT Astra Serif" w:hAnsi="PT Astra Serif"/>
          <w:sz w:val="28"/>
          <w:szCs w:val="28"/>
        </w:rPr>
        <w:t>17.11.2022</w:t>
      </w:r>
      <w:r w:rsidRPr="00DC6D12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1200</w:t>
      </w:r>
      <w:r w:rsidRPr="00DC6D12">
        <w:rPr>
          <w:rFonts w:ascii="PT Astra Serif" w:hAnsi="PT Astra Serif"/>
          <w:sz w:val="28"/>
          <w:szCs w:val="28"/>
        </w:rPr>
        <w:t xml:space="preserve">, следующие изменения: </w:t>
      </w:r>
    </w:p>
    <w:p w:rsidR="00DC6D12" w:rsidRPr="00DC6D12" w:rsidRDefault="00DC6D12" w:rsidP="00DC6D12">
      <w:pPr>
        <w:pStyle w:val="ConsPlusNormal"/>
        <w:numPr>
          <w:ilvl w:val="0"/>
          <w:numId w:val="3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C6D12" w:rsidRPr="00DC6D12" w:rsidTr="00DC6D12">
        <w:tc>
          <w:tcPr>
            <w:tcW w:w="2410" w:type="dxa"/>
          </w:tcPr>
          <w:p w:rsidR="00DC6D12" w:rsidRPr="00DC6D12" w:rsidRDefault="00DC6D12" w:rsidP="00DC6D12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DC6D12" w:rsidRPr="00DC6D12" w:rsidRDefault="00DC6D12" w:rsidP="00DC6D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C452AD">
              <w:rPr>
                <w:rFonts w:ascii="PT Astra Serif" w:hAnsi="PT Astra Serif"/>
                <w:sz w:val="28"/>
                <w:szCs w:val="28"/>
              </w:rPr>
              <w:t>79298</w:t>
            </w:r>
            <w:r w:rsidRPr="00DC6D12">
              <w:rPr>
                <w:rFonts w:ascii="PT Astra Serif" w:hAnsi="PT Astra Serif"/>
                <w:sz w:val="28"/>
                <w:szCs w:val="28"/>
              </w:rPr>
              <w:t>,</w:t>
            </w:r>
            <w:r w:rsidR="00C452AD">
              <w:rPr>
                <w:rFonts w:ascii="PT Astra Serif" w:hAnsi="PT Astra Serif"/>
                <w:sz w:val="28"/>
                <w:szCs w:val="28"/>
              </w:rPr>
              <w:t xml:space="preserve">66622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 - из средств местного бюджета </w:t>
            </w:r>
            <w:r w:rsidR="00C452AD">
              <w:rPr>
                <w:rFonts w:ascii="PT Astra Serif" w:hAnsi="PT Astra Serif"/>
                <w:sz w:val="28"/>
                <w:szCs w:val="28"/>
              </w:rPr>
              <w:t>41403,59868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6752</w:t>
            </w:r>
            <w:r w:rsidRPr="00DC6D1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C6D12">
              <w:rPr>
                <w:rFonts w:ascii="PT Astra Serif" w:hAnsi="PT Astra Serif"/>
                <w:sz w:val="28"/>
                <w:szCs w:val="28"/>
              </w:rPr>
              <w:t>77</w:t>
            </w: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2023 году –   3599,00000 тыс. рублей;</w:t>
            </w:r>
          </w:p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2024 году –   4258,00000 тыс. рублей;</w:t>
            </w:r>
          </w:p>
          <w:p w:rsidR="00DC6D12" w:rsidRPr="00DC6D12" w:rsidRDefault="00DC6D12" w:rsidP="00DC6D12">
            <w:pPr>
              <w:pStyle w:val="ConsPlusNormal"/>
              <w:ind w:firstLine="56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lastRenderedPageBreak/>
              <w:t>в 2025 году –   21457,80000 тыс. рублей.</w:t>
            </w:r>
          </w:p>
          <w:p w:rsidR="00DC6D12" w:rsidRPr="00DC6D12" w:rsidRDefault="00DC6D12" w:rsidP="000206BD">
            <w:pPr>
              <w:pStyle w:val="ConsPlusNormal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- из средств областного бюджета </w:t>
            </w:r>
            <w:r w:rsidR="000206BD">
              <w:rPr>
                <w:rFonts w:ascii="PT Astra Serif" w:hAnsi="PT Astra Serif"/>
                <w:sz w:val="28"/>
                <w:szCs w:val="28"/>
              </w:rPr>
              <w:t>37895,06754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C6D12" w:rsidRPr="00DC6D12" w:rsidRDefault="00DC6D12" w:rsidP="00DC6D12">
            <w:pPr>
              <w:pStyle w:val="ConsPlusNormal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2020 году -    0,00000 тыс. рублей;</w:t>
            </w:r>
          </w:p>
          <w:p w:rsidR="00DC6D12" w:rsidRPr="00DC6D12" w:rsidRDefault="00DC6D12" w:rsidP="00DC6D12">
            <w:pPr>
              <w:pStyle w:val="ConsPlusNormal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2021 году –   0,00000 тыс. рублей;</w:t>
            </w:r>
          </w:p>
          <w:p w:rsidR="000206BD" w:rsidRPr="000206BD" w:rsidRDefault="00DC6D12" w:rsidP="000206BD">
            <w:pPr>
              <w:pStyle w:val="ConsPlusNormal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 w:rsidR="000206BD" w:rsidRPr="000206BD">
              <w:rPr>
                <w:rFonts w:ascii="PT Astra Serif" w:hAnsi="PT Astra Serif"/>
                <w:sz w:val="28"/>
                <w:szCs w:val="28"/>
              </w:rPr>
              <w:t>0,00000 тыс. рублей;</w:t>
            </w:r>
          </w:p>
          <w:p w:rsidR="000206BD" w:rsidRPr="000206BD" w:rsidRDefault="00DC6D12" w:rsidP="000206BD">
            <w:pPr>
              <w:pStyle w:val="ConsPlusNormal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2023 году –   </w:t>
            </w:r>
            <w:r w:rsidR="000206BD" w:rsidRPr="000206BD">
              <w:rPr>
                <w:rFonts w:ascii="PT Astra Serif" w:hAnsi="PT Astra Serif"/>
                <w:sz w:val="28"/>
                <w:szCs w:val="28"/>
              </w:rPr>
              <w:t>37895,06754 тыс. рублей, в том числе из средств Фонда содействия реформированию жилищно-коммунального хозяйства - 35598,39678 тыс. рублей;</w:t>
            </w:r>
          </w:p>
          <w:p w:rsidR="00DC6D12" w:rsidRPr="00DC6D12" w:rsidRDefault="00DC6D12" w:rsidP="00DC6D12">
            <w:pPr>
              <w:pStyle w:val="ConsPlusNormal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2024 году –   0,00000 тыс. рублей;</w:t>
            </w:r>
          </w:p>
          <w:p w:rsidR="00DC6D12" w:rsidRPr="00DC6D12" w:rsidRDefault="00DC6D12" w:rsidP="00DC6D12">
            <w:pPr>
              <w:pStyle w:val="ConsPlusNormal"/>
              <w:ind w:firstLine="56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2025 году –   0,00000 тыс. рублей.</w:t>
            </w:r>
          </w:p>
        </w:tc>
      </w:tr>
    </w:tbl>
    <w:p w:rsidR="00DC6D12" w:rsidRPr="00DC6D12" w:rsidRDefault="00DC6D12" w:rsidP="00BC4C80">
      <w:pPr>
        <w:pStyle w:val="ConsPlusNormal"/>
        <w:numPr>
          <w:ilvl w:val="0"/>
          <w:numId w:val="36"/>
        </w:numPr>
        <w:ind w:left="0" w:firstLine="568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lastRenderedPageBreak/>
        <w:t xml:space="preserve">приложение № 1 к муниципальной программе изложить в новой редакции (приложение № 1 к настоящему постановлению). </w:t>
      </w:r>
    </w:p>
    <w:p w:rsidR="00DC6D12" w:rsidRPr="00DC6D12" w:rsidRDefault="00DC6D12" w:rsidP="00BC4C80">
      <w:pPr>
        <w:pStyle w:val="ConsPlusNormal"/>
        <w:numPr>
          <w:ilvl w:val="0"/>
          <w:numId w:val="36"/>
        </w:numPr>
        <w:ind w:left="0" w:firstLine="568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приложение № 2 к муниципальной программе изложить в новой редакции (приложение № 2 к настоящему постановлению). </w:t>
      </w:r>
    </w:p>
    <w:p w:rsidR="00DC6D12" w:rsidRPr="00DC6D12" w:rsidRDefault="00DC6D12" w:rsidP="00DC6D1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2C71A4">
          <w:headerReference w:type="default" r:id="rId8"/>
          <w:headerReference w:type="first" r:id="rId9"/>
          <w:pgSz w:w="11907" w:h="16840" w:code="9"/>
          <w:pgMar w:top="993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52513D" w:rsidRDefault="00776405" w:rsidP="002C71A4">
      <w:pPr>
        <w:shd w:val="clear" w:color="auto" w:fill="FFFFFF"/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C71A4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53FFF" w:rsidRPr="00253FFF" w:rsidRDefault="0052513D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523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2022</w:t>
      </w:r>
      <w:r w:rsidR="0052513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253FFF" w:rsidRPr="00253FFF" w:rsidRDefault="00253FFF" w:rsidP="00253FFF">
      <w:pPr>
        <w:shd w:val="clear" w:color="auto" w:fill="FFFFFF"/>
        <w:autoSpaceDN w:val="0"/>
        <w:ind w:right="5074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253FFF" w:rsidRPr="00253FFF" w:rsidRDefault="00253FFF" w:rsidP="00253FFF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253FFF" w:rsidRPr="00253FFF" w:rsidRDefault="00253FFF" w:rsidP="00253FFF">
      <w:pPr>
        <w:shd w:val="clear" w:color="auto" w:fill="FFFFFF"/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Североуральского 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253FFF" w:rsidRPr="00253FFF" w:rsidRDefault="00253FFF" w:rsidP="00253FFF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253FFF" w:rsidRPr="00253FFF" w:rsidTr="00253FFF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Едини-ца измере-ния        (в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53FFF" w:rsidRPr="00253FFF" w:rsidTr="00253FFF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2021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2022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2023 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2025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napToGri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253FF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Задача 1.1: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253FFF" w:rsidRPr="00253FFF" w:rsidTr="00253FFF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Гражданский кодекс Российской Федерации, Федеральный закон от 06 октября 2003 года № 131-ФЗ                 «Об общих принципах организации местного самоуправления в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</w:tr>
      <w:tr w:rsidR="00253FFF" w:rsidRPr="00253FFF" w:rsidTr="00253FF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проведена техническая инвентаризация.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F378D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253FFF">
                <w:rPr>
                  <w:rFonts w:ascii="PT Astra Serif" w:eastAsia="Calibr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253FFF" w:rsidRPr="00253FFF" w:rsidTr="00253FFF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D5F39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7025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  <w:r w:rsidR="00BB7DE5" w:rsidRPr="00C7025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ешение Думы Североуральского городского округа от 25.12.2019 N 72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«Об утверждении Положения о порядке управления и распоряжения имуществом, находящимся в собственности 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Североуральского городского округа»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06 октября 2003 года № 131-ФЗ             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53FFF" w:rsidRPr="00253FFF" w:rsidTr="00253FFF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08 ноября 2007 № 257-ФЗ «Об автомобильных дорогах и о дорожной деятельности в Российской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511B3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1503,3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7-1.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коли-чество собст-венни-ков жилых поме-щений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F378D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7-2.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Площадь жилых помещений, приобретаемых в целях формирования муниципального жилого фонда, в том числе для переселения граждан из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lastRenderedPageBreak/>
              <w:t>жилых помещений, признанных непригодными</w:t>
            </w:r>
            <w:r w:rsidRPr="00253FFF">
              <w:t xml:space="preserve">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7025E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7E4BE3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452AD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Жилищный кодекс Российской Федерации, постановления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411577" w:rsidRDefault="00411577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8A5660" w:rsidRDefault="00DA5FCA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  <w:r w:rsidR="008A5660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8A5660" w:rsidRDefault="008A5660" w:rsidP="000260DC">
      <w:pPr>
        <w:shd w:val="clear" w:color="auto" w:fill="FFFFFF"/>
        <w:tabs>
          <w:tab w:val="left" w:pos="7938"/>
          <w:tab w:val="left" w:pos="8080"/>
        </w:tabs>
        <w:autoSpaceDN w:val="0"/>
        <w:ind w:right="3799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260DC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</w:t>
      </w:r>
      <w:r w:rsidR="000260DC"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_» _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_______2022 № _____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</w:t>
      </w:r>
    </w:p>
    <w:p w:rsidR="00DA5FCA" w:rsidRDefault="008A5660" w:rsidP="000260DC">
      <w:pPr>
        <w:shd w:val="clear" w:color="auto" w:fill="FFFFFF"/>
        <w:tabs>
          <w:tab w:val="left" w:pos="8080"/>
        </w:tabs>
        <w:autoSpaceDN w:val="0"/>
        <w:ind w:right="507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A5FCA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DA5FCA">
      <w:pPr>
        <w:shd w:val="clear" w:color="auto" w:fill="FFFFFF"/>
        <w:tabs>
          <w:tab w:val="left" w:pos="8518"/>
          <w:tab w:val="right" w:pos="10348"/>
        </w:tabs>
        <w:autoSpaceDN w:val="0"/>
        <w:ind w:right="4082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DA5FCA" w:rsidTr="004B73A1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ind w:left="-113" w:right="-163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№ стро-ки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 пока-</w:t>
            </w:r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зате-лей, на </w:t>
            </w:r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дости-жение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кото-рых 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 мероп-риятия</w:t>
            </w:r>
          </w:p>
        </w:tc>
      </w:tr>
      <w:tr w:rsidR="00DA5FCA" w:rsidTr="004B73A1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муниципальной </w:t>
            </w: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E0B5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79298,66622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4C1AFE" w:rsidP="004C1AFE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73A1">
              <w:rPr>
                <w:rFonts w:ascii="PT Astra Serif" w:hAnsi="PT Astra Serif"/>
                <w:b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6D0D41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41494,06754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4258,00000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E0B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41403,59868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4B73A1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6D0D41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3599,00000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4B73A1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C1AF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4C1AFE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4C1AFE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E0B5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59520,66754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AD0C77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38974,06754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E0B5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21625,60000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E0B5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B73A1" w:rsidTr="00DC6D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B73A1" w:rsidTr="00DC6D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E0B5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19 777,99868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CA" w:rsidRDefault="006D0D4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E0B5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19777,99868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CA" w:rsidRDefault="006D0D4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 xml:space="preserve">Всего по направлению </w:t>
            </w: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lastRenderedPageBreak/>
              <w:t>«Капитальные вложения»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23460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lastRenderedPageBreak/>
              <w:t>59520,66754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6D0D41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38974,06754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23460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21625,60000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43A01" w:rsidTr="00A43A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43A01" w:rsidTr="00A43A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условий, всего, в том числе</w:t>
            </w:r>
          </w:p>
          <w:p w:rsidR="00411577" w:rsidRDefault="00411577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A5FCA" w:rsidTr="004B73A1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8316,</w:t>
            </w:r>
            <w:r w:rsidR="000A75D3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>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51204,26754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38826</w:t>
            </w:r>
            <w:r w:rsidR="004C1AF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04" w:rsidRDefault="00730504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A5FCA" w:rsidRDefault="00DA5FCA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13309,20000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B73A1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B73A1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AD0C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E0B5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AD0C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CA" w:rsidRDefault="00DE0B5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0" w:name="OLE_LINK7"/>
            <w:bookmarkStart w:id="1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0"/>
            <w:bookmarkEnd w:id="1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23460A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1153,34992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A5FCA" w:rsidTr="004B73A1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1153,34992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2" w:name="OLE_LINK18"/>
            <w:bookmarkStart w:id="3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2"/>
            <w:bookmarkEnd w:id="3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16037,48184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A5FCA" w:rsidTr="004B73A1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16037,48184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159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6B576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4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A5FCA" w:rsidRDefault="00DA5FCA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7025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1325,32857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5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200,00000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7025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1325,32857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6" w:name="OLE_LINK2"/>
            <w:bookmarkStart w:id="7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200,00000</w:t>
            </w:r>
            <w:bookmarkEnd w:id="6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11577">
        <w:trPr>
          <w:trHeight w:val="6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A5FCA" w:rsidRDefault="00DA5FCA" w:rsidP="00411577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</w:t>
            </w:r>
            <w:r w:rsidR="00411577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рог общего пользования местного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значения </w:t>
            </w:r>
            <w:r w:rsidR="00411577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(</w:t>
            </w:r>
            <w:bookmarkStart w:id="8" w:name="_GoBack"/>
            <w:bookmarkEnd w:id="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улично-дорожная сеть), расположенных на территории 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7025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501,33835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7025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501,33835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A5FCA" w:rsidTr="004B73A1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4B73A1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sectPr w:rsidR="00F553F6" w:rsidSect="00411577">
      <w:pgSz w:w="16840" w:h="11907" w:orient="landscape" w:code="9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FF" w:rsidRDefault="00426FFF" w:rsidP="00BF5221">
      <w:r>
        <w:separator/>
      </w:r>
    </w:p>
  </w:endnote>
  <w:endnote w:type="continuationSeparator" w:id="0">
    <w:p w:rsidR="00426FFF" w:rsidRDefault="00426FFF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FF" w:rsidRDefault="00426FFF" w:rsidP="00BF5221">
      <w:r>
        <w:separator/>
      </w:r>
    </w:p>
  </w:footnote>
  <w:footnote w:type="continuationSeparator" w:id="0">
    <w:p w:rsidR="00426FFF" w:rsidRDefault="00426FFF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A43A01" w:rsidRPr="0052513D" w:rsidRDefault="00A43A01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411577">
          <w:rPr>
            <w:b/>
            <w:noProof/>
          </w:rPr>
          <w:t>15</w:t>
        </w:r>
        <w:r w:rsidRPr="0052513D">
          <w:rPr>
            <w:b/>
          </w:rPr>
          <w:fldChar w:fldCharType="end"/>
        </w:r>
      </w:p>
    </w:sdtContent>
  </w:sdt>
  <w:p w:rsidR="00A43A01" w:rsidRDefault="00A43A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1" w:rsidRDefault="00A43A01">
    <w:pPr>
      <w:pStyle w:val="a8"/>
      <w:jc w:val="center"/>
    </w:pPr>
  </w:p>
  <w:p w:rsidR="00A43A01" w:rsidRDefault="00A43A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2"/>
  </w:num>
  <w:num w:numId="14">
    <w:abstractNumId w:val="33"/>
  </w:num>
  <w:num w:numId="15">
    <w:abstractNumId w:val="4"/>
  </w:num>
  <w:num w:numId="16">
    <w:abstractNumId w:val="3"/>
  </w:num>
  <w:num w:numId="17">
    <w:abstractNumId w:val="6"/>
  </w:num>
  <w:num w:numId="18">
    <w:abstractNumId w:val="30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5"/>
  </w:num>
  <w:num w:numId="26">
    <w:abstractNumId w:val="24"/>
  </w:num>
  <w:num w:numId="27">
    <w:abstractNumId w:val="22"/>
  </w:num>
  <w:num w:numId="28">
    <w:abstractNumId w:val="34"/>
  </w:num>
  <w:num w:numId="29">
    <w:abstractNumId w:val="35"/>
  </w:num>
  <w:num w:numId="30">
    <w:abstractNumId w:val="1"/>
  </w:num>
  <w:num w:numId="31">
    <w:abstractNumId w:val="8"/>
  </w:num>
  <w:num w:numId="32">
    <w:abstractNumId w:val="26"/>
  </w:num>
  <w:num w:numId="33">
    <w:abstractNumId w:val="15"/>
  </w:num>
  <w:num w:numId="34">
    <w:abstractNumId w:val="16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A55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6593"/>
    <w:rsid w:val="000A688E"/>
    <w:rsid w:val="000A70DE"/>
    <w:rsid w:val="000A75D3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464D"/>
    <w:rsid w:val="0012551C"/>
    <w:rsid w:val="00126976"/>
    <w:rsid w:val="00127316"/>
    <w:rsid w:val="001310FA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1F9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5375"/>
    <w:rsid w:val="001E1629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2631"/>
    <w:rsid w:val="002C4769"/>
    <w:rsid w:val="002C6F38"/>
    <w:rsid w:val="002C71A4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D5C60"/>
    <w:rsid w:val="003E1193"/>
    <w:rsid w:val="003E4A68"/>
    <w:rsid w:val="003E4F08"/>
    <w:rsid w:val="003E765B"/>
    <w:rsid w:val="003F0946"/>
    <w:rsid w:val="003F2299"/>
    <w:rsid w:val="003F4864"/>
    <w:rsid w:val="00402657"/>
    <w:rsid w:val="004104A8"/>
    <w:rsid w:val="00411577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6FFF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6113"/>
    <w:rsid w:val="004A7731"/>
    <w:rsid w:val="004A7809"/>
    <w:rsid w:val="004B03F6"/>
    <w:rsid w:val="004B17F9"/>
    <w:rsid w:val="004B525B"/>
    <w:rsid w:val="004B6783"/>
    <w:rsid w:val="004B73A1"/>
    <w:rsid w:val="004C0912"/>
    <w:rsid w:val="004C1AFE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1295"/>
    <w:rsid w:val="00531F4B"/>
    <w:rsid w:val="005321D8"/>
    <w:rsid w:val="00532C60"/>
    <w:rsid w:val="005335EB"/>
    <w:rsid w:val="005348EF"/>
    <w:rsid w:val="00536D45"/>
    <w:rsid w:val="00545644"/>
    <w:rsid w:val="00547841"/>
    <w:rsid w:val="005501A7"/>
    <w:rsid w:val="005536B0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5D2"/>
    <w:rsid w:val="00881C0C"/>
    <w:rsid w:val="00884626"/>
    <w:rsid w:val="00885D6B"/>
    <w:rsid w:val="0088677C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A41A8"/>
    <w:rsid w:val="008A5660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6BD7"/>
    <w:rsid w:val="00916F65"/>
    <w:rsid w:val="0092281A"/>
    <w:rsid w:val="00924C2E"/>
    <w:rsid w:val="0092736E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1F3D"/>
    <w:rsid w:val="00983A14"/>
    <w:rsid w:val="009848A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5B38"/>
    <w:rsid w:val="00A57C96"/>
    <w:rsid w:val="00A632CC"/>
    <w:rsid w:val="00A637BF"/>
    <w:rsid w:val="00A663FF"/>
    <w:rsid w:val="00A6706E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52AD"/>
    <w:rsid w:val="00C478EC"/>
    <w:rsid w:val="00C5012F"/>
    <w:rsid w:val="00C511B3"/>
    <w:rsid w:val="00C528E0"/>
    <w:rsid w:val="00C579D5"/>
    <w:rsid w:val="00C60AF9"/>
    <w:rsid w:val="00C61187"/>
    <w:rsid w:val="00C61545"/>
    <w:rsid w:val="00C621AA"/>
    <w:rsid w:val="00C645C2"/>
    <w:rsid w:val="00C7025E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3ACB"/>
    <w:rsid w:val="00CB5302"/>
    <w:rsid w:val="00CB6652"/>
    <w:rsid w:val="00CC0180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3C0B"/>
    <w:rsid w:val="00DB46B3"/>
    <w:rsid w:val="00DC2606"/>
    <w:rsid w:val="00DC2CE3"/>
    <w:rsid w:val="00DC3806"/>
    <w:rsid w:val="00DC5E6F"/>
    <w:rsid w:val="00DC6D12"/>
    <w:rsid w:val="00DC759D"/>
    <w:rsid w:val="00DD2110"/>
    <w:rsid w:val="00DD21F8"/>
    <w:rsid w:val="00DD664C"/>
    <w:rsid w:val="00DD724E"/>
    <w:rsid w:val="00DE0B5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378D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F086-3818-42BF-9FFD-92BA0D5E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3</cp:revision>
  <cp:lastPrinted>2022-12-12T06:23:00Z</cp:lastPrinted>
  <dcterms:created xsi:type="dcterms:W3CDTF">2022-12-14T03:53:00Z</dcterms:created>
  <dcterms:modified xsi:type="dcterms:W3CDTF">2022-12-14T03:53:00Z</dcterms:modified>
</cp:coreProperties>
</file>