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2802"/>
        <w:gridCol w:w="7193"/>
        <w:gridCol w:w="36"/>
      </w:tblGrid>
      <w:tr w:rsidR="008324B6" w:rsidTr="0088446C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8324B6" w:rsidRDefault="008324B6" w:rsidP="00C772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542925"/>
                  <wp:effectExtent l="19050" t="0" r="9525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4B6" w:rsidTr="0088446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24B6" w:rsidRDefault="008324B6" w:rsidP="00C7726E">
            <w:pPr>
              <w:pStyle w:val="1"/>
              <w:ind w:left="-72" w:firstLine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</w:p>
          <w:p w:rsidR="008324B6" w:rsidRDefault="008324B6" w:rsidP="00C7726E">
            <w:pPr>
              <w:pStyle w:val="1"/>
              <w:ind w:left="-72" w:firstLine="0"/>
              <w:jc w:val="center"/>
              <w:rPr>
                <w:sz w:val="32"/>
              </w:rPr>
            </w:pPr>
            <w:r>
              <w:rPr>
                <w:sz w:val="32"/>
              </w:rPr>
              <w:t>СЕВЕРОУРАЛЬСКОГО ГОРОДСКОГО ОКРУГА</w:t>
            </w:r>
          </w:p>
          <w:p w:rsidR="008324B6" w:rsidRDefault="008324B6" w:rsidP="00C7726E">
            <w:pPr>
              <w:jc w:val="center"/>
              <w:rPr>
                <w:b/>
              </w:rPr>
            </w:pPr>
          </w:p>
          <w:p w:rsidR="008324B6" w:rsidRDefault="008324B6" w:rsidP="00C7726E">
            <w:pPr>
              <w:jc w:val="center"/>
              <w:rPr>
                <w:b/>
              </w:rPr>
            </w:pPr>
            <w:r>
              <w:rPr>
                <w:b/>
              </w:rPr>
              <w:t>П О С Т А Н О В Л Е Н И Е</w:t>
            </w:r>
          </w:p>
        </w:tc>
      </w:tr>
      <w:tr w:rsidR="008324B6" w:rsidTr="0088446C">
        <w:trPr>
          <w:cantSplit/>
          <w:trHeight w:val="503"/>
        </w:trPr>
        <w:tc>
          <w:tcPr>
            <w:tcW w:w="2802" w:type="dxa"/>
          </w:tcPr>
          <w:p w:rsidR="008324B6" w:rsidRDefault="008324B6" w:rsidP="00C7726E">
            <w:pPr>
              <w:pStyle w:val="1"/>
              <w:rPr>
                <w:b w:val="0"/>
                <w:sz w:val="24"/>
              </w:rPr>
            </w:pPr>
          </w:p>
          <w:p w:rsidR="008324B6" w:rsidRDefault="008324B6" w:rsidP="00D503AB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D503AB">
              <w:rPr>
                <w:b/>
                <w:sz w:val="24"/>
              </w:rPr>
              <w:t>28</w:t>
            </w:r>
            <w:r>
              <w:rPr>
                <w:b/>
                <w:sz w:val="24"/>
              </w:rPr>
              <w:t>.0</w:t>
            </w:r>
            <w:r w:rsidR="00D503AB">
              <w:rPr>
                <w:b/>
                <w:sz w:val="24"/>
              </w:rPr>
              <w:t>7.2011</w:t>
            </w:r>
            <w:r>
              <w:rPr>
                <w:b/>
                <w:sz w:val="24"/>
              </w:rPr>
              <w:t xml:space="preserve">г.  № </w:t>
            </w:r>
            <w:r w:rsidR="00D503AB">
              <w:rPr>
                <w:b/>
                <w:sz w:val="24"/>
              </w:rPr>
              <w:t>1002</w:t>
            </w:r>
          </w:p>
        </w:tc>
        <w:tc>
          <w:tcPr>
            <w:tcW w:w="7229" w:type="dxa"/>
            <w:gridSpan w:val="2"/>
          </w:tcPr>
          <w:p w:rsidR="008324B6" w:rsidRPr="00CC1580" w:rsidRDefault="008324B6" w:rsidP="00C7726E">
            <w:pPr>
              <w:rPr>
                <w:sz w:val="24"/>
                <w:szCs w:val="24"/>
              </w:rPr>
            </w:pPr>
          </w:p>
          <w:p w:rsidR="008324B6" w:rsidRDefault="008324B6" w:rsidP="00C7726E"/>
        </w:tc>
      </w:tr>
      <w:tr w:rsidR="008324B6" w:rsidTr="0088446C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8324B6" w:rsidRDefault="008324B6" w:rsidP="00C7726E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8324B6" w:rsidRDefault="008324B6" w:rsidP="00C7726E">
            <w:pPr>
              <w:rPr>
                <w:sz w:val="24"/>
              </w:rPr>
            </w:pPr>
            <w:r>
              <w:rPr>
                <w:sz w:val="24"/>
              </w:rPr>
              <w:t>г. Североуральск</w:t>
            </w:r>
          </w:p>
        </w:tc>
      </w:tr>
      <w:tr w:rsidR="008324B6" w:rsidTr="0088446C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8324B6" w:rsidRDefault="008324B6" w:rsidP="00C7726E">
            <w:pPr>
              <w:pStyle w:val="1"/>
              <w:ind w:left="0" w:firstLine="0"/>
            </w:pPr>
          </w:p>
        </w:tc>
      </w:tr>
    </w:tbl>
    <w:p w:rsidR="00853793" w:rsidRDefault="00853793" w:rsidP="00587CA0">
      <w:pPr>
        <w:jc w:val="center"/>
        <w:rPr>
          <w:b/>
        </w:rPr>
      </w:pPr>
    </w:p>
    <w:p w:rsidR="00202052" w:rsidRDefault="00D503AB" w:rsidP="00587CA0">
      <w:pPr>
        <w:jc w:val="center"/>
        <w:rPr>
          <w:b/>
        </w:rPr>
      </w:pPr>
      <w:r>
        <w:rPr>
          <w:b/>
        </w:rPr>
        <w:t xml:space="preserve">О внесении изменений в Порядок применения </w:t>
      </w:r>
    </w:p>
    <w:p w:rsidR="00202052" w:rsidRDefault="00D503AB" w:rsidP="00587CA0">
      <w:pPr>
        <w:jc w:val="center"/>
        <w:rPr>
          <w:b/>
        </w:rPr>
      </w:pPr>
      <w:r>
        <w:rPr>
          <w:b/>
        </w:rPr>
        <w:t xml:space="preserve">бюджетной классификации Российской Федерации </w:t>
      </w:r>
    </w:p>
    <w:p w:rsidR="00202052" w:rsidRDefault="00D503AB" w:rsidP="00202052">
      <w:pPr>
        <w:jc w:val="center"/>
        <w:rPr>
          <w:b/>
        </w:rPr>
      </w:pPr>
      <w:r>
        <w:rPr>
          <w:b/>
        </w:rPr>
        <w:t xml:space="preserve">в части, относящейся к местному бюджету, утвержденный </w:t>
      </w:r>
    </w:p>
    <w:p w:rsidR="00202052" w:rsidRDefault="00D503AB" w:rsidP="00202052">
      <w:pPr>
        <w:jc w:val="center"/>
        <w:rPr>
          <w:b/>
        </w:rPr>
      </w:pPr>
      <w:r>
        <w:rPr>
          <w:b/>
        </w:rPr>
        <w:t xml:space="preserve">постановлением Главы Североуральского городского </w:t>
      </w:r>
    </w:p>
    <w:p w:rsidR="00202052" w:rsidRDefault="00D503AB" w:rsidP="00202052">
      <w:pPr>
        <w:jc w:val="center"/>
        <w:rPr>
          <w:b/>
        </w:rPr>
      </w:pPr>
      <w:r>
        <w:rPr>
          <w:b/>
        </w:rPr>
        <w:t xml:space="preserve">округа от 15.12.2010г. № 1535 «Об утверждении порядка </w:t>
      </w:r>
    </w:p>
    <w:p w:rsidR="00202052" w:rsidRDefault="00D503AB" w:rsidP="00202052">
      <w:pPr>
        <w:jc w:val="center"/>
        <w:rPr>
          <w:b/>
        </w:rPr>
      </w:pPr>
      <w:r>
        <w:rPr>
          <w:b/>
        </w:rPr>
        <w:t xml:space="preserve">применения бюджетной классификации Российской </w:t>
      </w:r>
    </w:p>
    <w:p w:rsidR="00587CA0" w:rsidRDefault="00D503AB" w:rsidP="00202052">
      <w:pPr>
        <w:jc w:val="center"/>
        <w:rPr>
          <w:b/>
        </w:rPr>
      </w:pPr>
      <w:r>
        <w:rPr>
          <w:b/>
        </w:rPr>
        <w:t>Федерации в части, относящейся к местному бюджету»</w:t>
      </w:r>
    </w:p>
    <w:p w:rsidR="00587CA0" w:rsidRDefault="00587CA0" w:rsidP="00EF5B03">
      <w:pPr>
        <w:jc w:val="both"/>
      </w:pPr>
    </w:p>
    <w:p w:rsidR="00853793" w:rsidRDefault="00853793" w:rsidP="00EF5B03">
      <w:pPr>
        <w:jc w:val="both"/>
      </w:pPr>
    </w:p>
    <w:p w:rsidR="00571614" w:rsidRPr="00587CA0" w:rsidRDefault="00D503AB" w:rsidP="00D503AB">
      <w:pPr>
        <w:ind w:firstLine="709"/>
        <w:jc w:val="both"/>
      </w:pPr>
      <w:r>
        <w:t xml:space="preserve">Руководствуясь статьей 9 и положениями главы 4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03 мая 2011 года, Уставом Североуральского городского округа (газета «Наше слово», 2005, 15 августа, № 95) с изменениями на 27 апреля 2011 года, Решением Думы Североуральского городского округа от 29 июня 2011 года </w:t>
      </w:r>
      <w:r w:rsidR="00202052">
        <w:t xml:space="preserve">   </w:t>
      </w:r>
      <w:r>
        <w:t xml:space="preserve">№ 49 «О внесении изменений в </w:t>
      </w:r>
      <w:r w:rsidR="00EC64ED">
        <w:t>Р</w:t>
      </w:r>
      <w:r>
        <w:t>ешение Думы Североуральского городского округа от 15 декабря 2010 года № 144 «О бюджете Североуральского городского округа на 2011 год» (газета «Наше слово», 2011, 08 июля, № 53, «Муниципальный вестник», № 33), приказом Министерства Финансов Свердловской области от 28.06.2011г. № 279 «О внесении изменений в приложение к приказу Министерства Финансов Свердловской области от 26 ноября 2010 года № 331 «О порядке определения в 2011 году перечня и кодов целевых статей расходов местных бюджетов, финансовое обеспечение которых осуществляется за счет межбюджетных субсидий, субвенций или иных межбюджетных трансфертов из областного бюджета, имеющих целевое назначение»,</w:t>
      </w:r>
      <w:r w:rsidR="00D82F89">
        <w:t xml:space="preserve"> служебной запиской бюджетного отдела Финансового управления Администрации Североуральского городского округа от 22 июля 2011 года</w:t>
      </w:r>
    </w:p>
    <w:p w:rsidR="00587CA0" w:rsidRPr="00587CA0" w:rsidRDefault="00587CA0" w:rsidP="00EF5B03">
      <w:pPr>
        <w:jc w:val="both"/>
      </w:pPr>
    </w:p>
    <w:p w:rsidR="00471817" w:rsidRDefault="00471817" w:rsidP="00EF5B03">
      <w:pPr>
        <w:jc w:val="both"/>
        <w:rPr>
          <w:b/>
        </w:rPr>
      </w:pPr>
      <w:r w:rsidRPr="00471817">
        <w:rPr>
          <w:b/>
        </w:rPr>
        <w:t>П</w:t>
      </w:r>
      <w:r w:rsidR="00B34147">
        <w:rPr>
          <w:b/>
        </w:rPr>
        <w:t xml:space="preserve"> </w:t>
      </w:r>
      <w:r w:rsidRPr="00471817">
        <w:rPr>
          <w:b/>
        </w:rPr>
        <w:t>О</w:t>
      </w:r>
      <w:r w:rsidR="00B34147">
        <w:rPr>
          <w:b/>
        </w:rPr>
        <w:t xml:space="preserve"> </w:t>
      </w:r>
      <w:r w:rsidRPr="00471817">
        <w:rPr>
          <w:b/>
        </w:rPr>
        <w:t>С</w:t>
      </w:r>
      <w:r w:rsidR="00B34147">
        <w:rPr>
          <w:b/>
        </w:rPr>
        <w:t xml:space="preserve"> </w:t>
      </w:r>
      <w:r w:rsidRPr="00471817">
        <w:rPr>
          <w:b/>
        </w:rPr>
        <w:t>Т</w:t>
      </w:r>
      <w:r w:rsidR="00B34147">
        <w:rPr>
          <w:b/>
        </w:rPr>
        <w:t xml:space="preserve"> </w:t>
      </w:r>
      <w:r w:rsidRPr="00471817">
        <w:rPr>
          <w:b/>
        </w:rPr>
        <w:t>А</w:t>
      </w:r>
      <w:r w:rsidR="00B34147">
        <w:rPr>
          <w:b/>
        </w:rPr>
        <w:t xml:space="preserve"> </w:t>
      </w:r>
      <w:r w:rsidRPr="00471817">
        <w:rPr>
          <w:b/>
        </w:rPr>
        <w:t>Н</w:t>
      </w:r>
      <w:r w:rsidR="00B34147">
        <w:rPr>
          <w:b/>
        </w:rPr>
        <w:t xml:space="preserve"> </w:t>
      </w:r>
      <w:r w:rsidRPr="00471817">
        <w:rPr>
          <w:b/>
        </w:rPr>
        <w:t>О</w:t>
      </w:r>
      <w:r w:rsidR="00B34147">
        <w:rPr>
          <w:b/>
        </w:rPr>
        <w:t xml:space="preserve"> </w:t>
      </w:r>
      <w:r w:rsidRPr="00471817">
        <w:rPr>
          <w:b/>
        </w:rPr>
        <w:t>В</w:t>
      </w:r>
      <w:r w:rsidR="00B34147">
        <w:rPr>
          <w:b/>
        </w:rPr>
        <w:t xml:space="preserve"> </w:t>
      </w:r>
      <w:r w:rsidRPr="00471817">
        <w:rPr>
          <w:b/>
        </w:rPr>
        <w:t>Л</w:t>
      </w:r>
      <w:r w:rsidR="00B34147">
        <w:rPr>
          <w:b/>
        </w:rPr>
        <w:t xml:space="preserve"> </w:t>
      </w:r>
      <w:r w:rsidRPr="00471817">
        <w:rPr>
          <w:b/>
        </w:rPr>
        <w:t>Я</w:t>
      </w:r>
      <w:r w:rsidR="00B34147">
        <w:rPr>
          <w:b/>
        </w:rPr>
        <w:t xml:space="preserve"> </w:t>
      </w:r>
      <w:r w:rsidRPr="00471817">
        <w:rPr>
          <w:b/>
        </w:rPr>
        <w:t>Е</w:t>
      </w:r>
      <w:r w:rsidR="00B34147">
        <w:rPr>
          <w:b/>
        </w:rPr>
        <w:t xml:space="preserve"> </w:t>
      </w:r>
      <w:r w:rsidRPr="00471817">
        <w:rPr>
          <w:b/>
        </w:rPr>
        <w:t>Т:</w:t>
      </w:r>
    </w:p>
    <w:p w:rsidR="00471817" w:rsidRPr="006F7A1C" w:rsidRDefault="00471817" w:rsidP="00EF5B03">
      <w:pPr>
        <w:jc w:val="both"/>
      </w:pPr>
    </w:p>
    <w:p w:rsidR="00C65B8C" w:rsidRDefault="00B34147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местному бюджету, утвержденный постановлением Главы Североуральского городского округа от 15.12.2010г. </w:t>
      </w:r>
      <w:r w:rsidR="002020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№ 1535 «Об утверждении Порядка применения бюджетной классификации Российской Федерации в части, относящейся к местному бюджету» с изменениями на 06 июня 2011 года следующие изменения:</w:t>
      </w:r>
    </w:p>
    <w:p w:rsidR="00B34147" w:rsidRDefault="00B34147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20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раздел 2 дополнить пунктом 12-1 следующего содержания:</w:t>
      </w:r>
    </w:p>
    <w:p w:rsidR="00B34147" w:rsidRPr="00202052" w:rsidRDefault="00B34147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 xml:space="preserve">«12-1. целевая статья 0700400 «Резервные фонды исполнительных органов государственной </w:t>
      </w:r>
      <w:r w:rsidR="00EC64ED">
        <w:rPr>
          <w:rFonts w:ascii="Times New Roman" w:hAnsi="Times New Roman" w:cs="Times New Roman"/>
          <w:b/>
          <w:sz w:val="28"/>
          <w:szCs w:val="28"/>
        </w:rPr>
        <w:t>в</w:t>
      </w:r>
      <w:r w:rsidRPr="00202052">
        <w:rPr>
          <w:rFonts w:ascii="Times New Roman" w:hAnsi="Times New Roman" w:cs="Times New Roman"/>
          <w:b/>
          <w:sz w:val="28"/>
          <w:szCs w:val="28"/>
        </w:rPr>
        <w:t>ласти субъектов Российской Федерации»</w:t>
      </w:r>
    </w:p>
    <w:p w:rsidR="00B34147" w:rsidRDefault="00B34147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планируются ассигнования и осуществляются расходования средств резервного фонда Правительства Свердловской области;</w:t>
      </w:r>
    </w:p>
    <w:p w:rsidR="00B34147" w:rsidRDefault="00B34147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2 дополнить пунктом 20-1 следующего содержания:</w:t>
      </w:r>
    </w:p>
    <w:p w:rsidR="00B34147" w:rsidRPr="00202052" w:rsidRDefault="00B34147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«20-1. Целевая статья 0960100 «Реализация программы модернизации здравоохранения субъектов Российской Федерации в части укрепления материально</w:t>
      </w:r>
      <w:r w:rsidR="00134895" w:rsidRPr="00202052">
        <w:rPr>
          <w:rFonts w:ascii="Times New Roman" w:hAnsi="Times New Roman" w:cs="Times New Roman"/>
          <w:b/>
          <w:sz w:val="28"/>
          <w:szCs w:val="28"/>
        </w:rPr>
        <w:t>-технической базы медицинских учреждений»</w:t>
      </w:r>
    </w:p>
    <w:p w:rsidR="00134895" w:rsidRDefault="00134895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модернизацию здравоохранения в части укрепления материально-технической базы медицинских учреждений;</w:t>
      </w:r>
    </w:p>
    <w:p w:rsidR="00202052" w:rsidRDefault="00134895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 2 дополнить пунктом 102-1 следующего соде</w:t>
      </w:r>
      <w:r w:rsidR="00EE5621">
        <w:rPr>
          <w:rFonts w:ascii="Times New Roman" w:hAnsi="Times New Roman" w:cs="Times New Roman"/>
          <w:sz w:val="28"/>
          <w:szCs w:val="28"/>
        </w:rPr>
        <w:t>рж</w:t>
      </w:r>
      <w:r>
        <w:rPr>
          <w:rFonts w:ascii="Times New Roman" w:hAnsi="Times New Roman" w:cs="Times New Roman"/>
          <w:sz w:val="28"/>
          <w:szCs w:val="28"/>
        </w:rPr>
        <w:t>ания:</w:t>
      </w:r>
    </w:p>
    <w:p w:rsidR="00134895" w:rsidRPr="00202052" w:rsidRDefault="00202052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</w:t>
      </w:r>
      <w:r w:rsidR="00EE5621" w:rsidRPr="00202052">
        <w:rPr>
          <w:rFonts w:ascii="Times New Roman" w:hAnsi="Times New Roman" w:cs="Times New Roman"/>
          <w:b/>
          <w:sz w:val="28"/>
          <w:szCs w:val="28"/>
        </w:rPr>
        <w:t>102-1. Целевая статья 5210154 «Увеличение фонда оплаты труда работников муниципальных образовательных учреждений, за исключением муниципальных образовательных учреждений»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увеличение фонда оплаты труда работников муниципальных образовательных учреждений, за исключением муниципальных образовательных учреждений;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раздел 2 дополнить пунктом 102-2 следующего содержания:</w:t>
      </w:r>
    </w:p>
    <w:p w:rsidR="00EE5621" w:rsidRPr="00202052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«102-2. Целевая статья 5210155 «Увеличение фонда оплаты труда работников муниципальных учреждений культуры и искусства»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увеличение фонда оплаты труда работников муниципальных учреждений культуры и искусства;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раздел 2 дополнить пунктом 102-3 следующего содержания:</w:t>
      </w:r>
    </w:p>
    <w:p w:rsidR="00EE5621" w:rsidRPr="00202052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«102-3. Целевая статья 5210157 «Увеличение фонда оплаты труда работников муниципальных учреждений здравоохранения»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увеличение фонда оплаты труда работников муниципальных учреждений здравоохранения;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раздел 2 дополнить пунктом 102-4 следующего содержания:</w:t>
      </w:r>
    </w:p>
    <w:p w:rsidR="00EE5621" w:rsidRPr="00202052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«102-4. Целевая статья 5210158 «Увеличение фонда оплаты труда работников муниципальных учреждений физической культуры и спорта»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увеличение фонда оплаты труда работников муниципальных учреждений физической культуры и спорта;</w:t>
      </w:r>
    </w:p>
    <w:p w:rsidR="00EE5621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раздел 2 дополнить пунктом 106-1 следующего содержания:</w:t>
      </w:r>
    </w:p>
    <w:p w:rsidR="00EE5621" w:rsidRPr="00202052" w:rsidRDefault="00EE5621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«106-1. Целевая статья 5210206 «Осуществление государственного полномочия по определению перечня лиц, уполном</w:t>
      </w:r>
      <w:r w:rsidR="00CB36E4" w:rsidRPr="00202052">
        <w:rPr>
          <w:rFonts w:ascii="Times New Roman" w:hAnsi="Times New Roman" w:cs="Times New Roman"/>
          <w:b/>
          <w:sz w:val="28"/>
          <w:szCs w:val="28"/>
        </w:rPr>
        <w:t>о</w:t>
      </w:r>
      <w:r w:rsidRPr="00202052">
        <w:rPr>
          <w:rFonts w:ascii="Times New Roman" w:hAnsi="Times New Roman" w:cs="Times New Roman"/>
          <w:b/>
          <w:sz w:val="28"/>
          <w:szCs w:val="28"/>
        </w:rPr>
        <w:t>ченных составлять протоколы об административных правонарушениях</w:t>
      </w:r>
      <w:r w:rsidR="00EC64ED">
        <w:rPr>
          <w:rFonts w:ascii="Times New Roman" w:hAnsi="Times New Roman" w:cs="Times New Roman"/>
          <w:b/>
          <w:sz w:val="28"/>
          <w:szCs w:val="28"/>
        </w:rPr>
        <w:t>,</w:t>
      </w:r>
      <w:r w:rsidRPr="00202052">
        <w:rPr>
          <w:rFonts w:ascii="Times New Roman" w:hAnsi="Times New Roman" w:cs="Times New Roman"/>
          <w:b/>
          <w:sz w:val="28"/>
          <w:szCs w:val="28"/>
        </w:rPr>
        <w:t xml:space="preserve"> предусмотренных законом Свердловской области»</w:t>
      </w:r>
    </w:p>
    <w:p w:rsidR="00EE5621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осуществление государственного полномочия по определению перечня лиц, уполномоченных составлять протоколы об административных правонарушениях;</w:t>
      </w:r>
    </w:p>
    <w:p w:rsidR="00CB36E4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раздел 2 дополнить пунктом 114-1 следующего содержания:</w:t>
      </w:r>
    </w:p>
    <w:p w:rsidR="00CB36E4" w:rsidRPr="00202052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lastRenderedPageBreak/>
        <w:t>«114-1. Целевая статья 5220470 «П</w:t>
      </w:r>
      <w:r w:rsidR="00EC64ED">
        <w:rPr>
          <w:rFonts w:ascii="Times New Roman" w:hAnsi="Times New Roman" w:cs="Times New Roman"/>
          <w:b/>
          <w:sz w:val="28"/>
          <w:szCs w:val="28"/>
        </w:rPr>
        <w:t>одп</w:t>
      </w:r>
      <w:r w:rsidRPr="00202052">
        <w:rPr>
          <w:rFonts w:ascii="Times New Roman" w:hAnsi="Times New Roman" w:cs="Times New Roman"/>
          <w:b/>
          <w:sz w:val="28"/>
          <w:szCs w:val="28"/>
        </w:rPr>
        <w:t xml:space="preserve">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 областная целевая программа «Развитие жилищного комплекса в </w:t>
      </w:r>
      <w:r w:rsidR="00EC64ED">
        <w:rPr>
          <w:rFonts w:ascii="Times New Roman" w:hAnsi="Times New Roman" w:cs="Times New Roman"/>
          <w:b/>
          <w:sz w:val="28"/>
          <w:szCs w:val="28"/>
        </w:rPr>
        <w:t>С</w:t>
      </w:r>
      <w:r w:rsidRPr="00202052">
        <w:rPr>
          <w:rFonts w:ascii="Times New Roman" w:hAnsi="Times New Roman" w:cs="Times New Roman"/>
          <w:b/>
          <w:sz w:val="28"/>
          <w:szCs w:val="28"/>
        </w:rPr>
        <w:t>вердловской области» на 2011-2015 годы»</w:t>
      </w:r>
    </w:p>
    <w:p w:rsidR="00CB36E4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 областная целевая программа «Развитие жилищного комплекса в Свердловской области» на 2011-2015 годы»;</w:t>
      </w:r>
    </w:p>
    <w:p w:rsidR="00CB36E4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раздел 2 дополнить пунктом 121-1 следующего содержания:</w:t>
      </w:r>
    </w:p>
    <w:p w:rsidR="00CB36E4" w:rsidRPr="00202052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«121-1. Целевая статья 5221715 «Расходы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в рамках областной целевой программы «Развитие культуры в Свердловской области» на 2011-2015 годы»</w:t>
      </w:r>
    </w:p>
    <w:p w:rsidR="00CB36E4" w:rsidRDefault="00CB36E4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информатизацию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в рамках областной целевой программы «Развитие культуры в Свердловской области» на 2011-2015 годы;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раздел 2 дополнить пунктом 121-2 следующего содержания:</w:t>
      </w:r>
    </w:p>
    <w:p w:rsidR="0013097E" w:rsidRPr="00202052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«121-2. Целевая статья 5221900 «Оснащение многоквартирных домов и муниципальных учреждений приборами учета потребления энергетических ресурсов в рамках областной целевой программы «Энергоснабжение в Свердловской области» на 2011-2015 годы»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оснащение многоквартирных домов и муниципальных учреждений приборами учета потребления энергетических ресурсов в рамках областной целевой программы «Энергос</w:t>
      </w:r>
      <w:r w:rsidR="00EC6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бжение в Свердловской области» на 2011-2015 годы;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раздел 2 дополнить пунктом 133-1 следующего содержания:</w:t>
      </w:r>
    </w:p>
    <w:p w:rsidR="0013097E" w:rsidRPr="00202052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«133-1. Целевая статья 7951600 «Комплексная долгосрочная целевая программа «Организация временного трудоустройства несовершеннолетних граждан в возрасте от 14 до 18 лет» на 2009-2011 годы»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комплексной долгосрочной целевой программы «Организация временного трудоустройства несовершеннолетних граждан в возрасте от 14 до 18 лет» на 2009-2011 годы»;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раздел 2 дополнить пунктом 137-3 следующего содержания:</w:t>
      </w:r>
    </w:p>
    <w:p w:rsidR="0013097E" w:rsidRPr="00202052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lastRenderedPageBreak/>
        <w:t>«137-3. Целевая статья 7952800 Долгосрочная целевая программа «Модернизация здравоохранения Североуральского городского округа на 2011-2012 годы»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долгосрочной целевой программы «Модернизация здравоохранения Североуральского городского округа на 2011-2012 годы»;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раздел 2 дополни</w:t>
      </w:r>
      <w:r w:rsidR="002020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пунктом 137-4 следующего содержания:</w:t>
      </w:r>
    </w:p>
    <w:p w:rsidR="0013097E" w:rsidRPr="00202052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«137-4. Целевая статья 7952900 Долгосрочная целевая программа «П</w:t>
      </w:r>
      <w:r w:rsidR="00E000A3" w:rsidRPr="00202052">
        <w:rPr>
          <w:rFonts w:ascii="Times New Roman" w:hAnsi="Times New Roman" w:cs="Times New Roman"/>
          <w:b/>
          <w:sz w:val="28"/>
          <w:szCs w:val="28"/>
        </w:rPr>
        <w:t>р</w:t>
      </w:r>
      <w:r w:rsidRPr="00202052">
        <w:rPr>
          <w:rFonts w:ascii="Times New Roman" w:hAnsi="Times New Roman" w:cs="Times New Roman"/>
          <w:b/>
          <w:sz w:val="28"/>
          <w:szCs w:val="28"/>
        </w:rPr>
        <w:t>едоставление финансовой поддержки молодым семьям, проживающим в Североуральском городском округе, на погашение основной суммы долга и процентов по ипотечным жилищным кредитам (займам)» на 2011-2015 годы»</w:t>
      </w:r>
    </w:p>
    <w:p w:rsidR="0013097E" w:rsidRDefault="0013097E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долгосрочной целевой программы «Предоставление финансовой поддержки молодым семьям, проживающи</w:t>
      </w:r>
      <w:r w:rsidR="00EC64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Североуральском городском окр</w:t>
      </w:r>
      <w:r w:rsidR="00E000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ге, на погашение основной суммы долга и процентов по ипотечным </w:t>
      </w:r>
      <w:r w:rsidR="00E000A3">
        <w:rPr>
          <w:rFonts w:ascii="Times New Roman" w:hAnsi="Times New Roman" w:cs="Times New Roman"/>
          <w:sz w:val="28"/>
          <w:szCs w:val="28"/>
        </w:rPr>
        <w:t xml:space="preserve">жилищным </w:t>
      </w:r>
      <w:r>
        <w:rPr>
          <w:rFonts w:ascii="Times New Roman" w:hAnsi="Times New Roman" w:cs="Times New Roman"/>
          <w:sz w:val="28"/>
          <w:szCs w:val="28"/>
        </w:rPr>
        <w:t>кредитам</w:t>
      </w:r>
      <w:r w:rsidR="00E000A3">
        <w:rPr>
          <w:rFonts w:ascii="Times New Roman" w:hAnsi="Times New Roman" w:cs="Times New Roman"/>
          <w:sz w:val="28"/>
          <w:szCs w:val="28"/>
        </w:rPr>
        <w:t xml:space="preserve"> (займам)» на 2011-2015 годы;</w:t>
      </w:r>
    </w:p>
    <w:p w:rsidR="00E000A3" w:rsidRDefault="00E000A3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раздел 2 дополнить пунктом 137-5 следующего содержания:</w:t>
      </w:r>
    </w:p>
    <w:p w:rsidR="00E000A3" w:rsidRPr="00202052" w:rsidRDefault="00E000A3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2">
        <w:rPr>
          <w:rFonts w:ascii="Times New Roman" w:hAnsi="Times New Roman" w:cs="Times New Roman"/>
          <w:b/>
          <w:sz w:val="28"/>
          <w:szCs w:val="28"/>
        </w:rPr>
        <w:t>«137-5. Целевая статья 7953000 Долгосрочная целевая программа «Реконструкция монумента «Слава героям фронта и тыла» на 2011-2013 годы»</w:t>
      </w:r>
    </w:p>
    <w:p w:rsidR="00E000A3" w:rsidRDefault="00E000A3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долгосрочной целевой программы «Реконструкция монумента «Слава героям фронта и тыла» на 2011-2013 годы;</w:t>
      </w:r>
    </w:p>
    <w:p w:rsidR="00E000A3" w:rsidRDefault="00E000A3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202052">
        <w:rPr>
          <w:rFonts w:ascii="Times New Roman" w:hAnsi="Times New Roman" w:cs="Times New Roman"/>
          <w:sz w:val="28"/>
          <w:szCs w:val="28"/>
        </w:rPr>
        <w:t xml:space="preserve"> раздел 2 дополнить пунктом 137-6 следующего содержания:</w:t>
      </w:r>
    </w:p>
    <w:p w:rsidR="00202052" w:rsidRPr="008F58EC" w:rsidRDefault="00202052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8EC">
        <w:rPr>
          <w:rFonts w:ascii="Times New Roman" w:hAnsi="Times New Roman" w:cs="Times New Roman"/>
          <w:b/>
          <w:sz w:val="28"/>
          <w:szCs w:val="28"/>
        </w:rPr>
        <w:t>«137-6. Целевая статья 7953100 Долгосрочная целевая программа «Развитие культуры и искусства» на территории Североуральского городского округа» на 2011-2015 годы»</w:t>
      </w:r>
    </w:p>
    <w:p w:rsidR="00202052" w:rsidRDefault="00202052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реализацию долгосрочной целевой программы «Развитие культуры и искусства» на территории Североуральского городского округа» на 2011-2015 годы.</w:t>
      </w:r>
    </w:p>
    <w:p w:rsidR="00202052" w:rsidRDefault="00202052" w:rsidP="00B341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 по экономике Волоснякова Д.А.</w:t>
      </w:r>
    </w:p>
    <w:p w:rsidR="00587CA0" w:rsidRDefault="00587CA0" w:rsidP="00C65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CA0" w:rsidRDefault="00587CA0" w:rsidP="00C65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B8C" w:rsidRPr="00C65B8C" w:rsidRDefault="00C65B8C" w:rsidP="00C65B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817" w:rsidRPr="006F7A1C" w:rsidRDefault="00471817" w:rsidP="00EF5B03">
      <w:pPr>
        <w:jc w:val="both"/>
      </w:pPr>
    </w:p>
    <w:p w:rsidR="00471817" w:rsidRDefault="00534776" w:rsidP="00EF5B03">
      <w:pPr>
        <w:jc w:val="both"/>
        <w:rPr>
          <w:b/>
        </w:rPr>
      </w:pPr>
      <w:r>
        <w:rPr>
          <w:b/>
        </w:rPr>
        <w:t>И.о</w:t>
      </w:r>
      <w:r w:rsidR="00471817">
        <w:rPr>
          <w:b/>
        </w:rPr>
        <w:t>. Главы Североуральского</w:t>
      </w:r>
    </w:p>
    <w:p w:rsidR="00471817" w:rsidRPr="00471817" w:rsidRDefault="00471817" w:rsidP="00EF5B03">
      <w:pPr>
        <w:jc w:val="both"/>
        <w:rPr>
          <w:b/>
        </w:rPr>
      </w:pPr>
      <w:r>
        <w:rPr>
          <w:b/>
        </w:rPr>
        <w:t>городского округа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FA7">
        <w:rPr>
          <w:b/>
        </w:rPr>
        <w:tab/>
        <w:t>А.П. Дармин</w:t>
      </w:r>
    </w:p>
    <w:sectPr w:rsidR="00471817" w:rsidRPr="00471817" w:rsidSect="00202052">
      <w:headerReference w:type="default" r:id="rId9"/>
      <w:pgSz w:w="11906" w:h="16838" w:code="9"/>
      <w:pgMar w:top="794" w:right="851" w:bottom="79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02" w:rsidRDefault="007D4002" w:rsidP="00202052">
      <w:r>
        <w:separator/>
      </w:r>
    </w:p>
  </w:endnote>
  <w:endnote w:type="continuationSeparator" w:id="1">
    <w:p w:rsidR="007D4002" w:rsidRDefault="007D4002" w:rsidP="0020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02" w:rsidRDefault="007D4002" w:rsidP="00202052">
      <w:r>
        <w:separator/>
      </w:r>
    </w:p>
  </w:footnote>
  <w:footnote w:type="continuationSeparator" w:id="1">
    <w:p w:rsidR="007D4002" w:rsidRDefault="007D4002" w:rsidP="00202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3631"/>
      <w:docPartObj>
        <w:docPartGallery w:val="㔄∀ऀ܀"/>
        <w:docPartUnique/>
      </w:docPartObj>
    </w:sdtPr>
    <w:sdtEndPr>
      <w:rPr>
        <w:sz w:val="24"/>
        <w:szCs w:val="24"/>
      </w:rPr>
    </w:sdtEndPr>
    <w:sdtContent>
      <w:p w:rsidR="00202052" w:rsidRDefault="00202052" w:rsidP="00202052">
        <w:pPr>
          <w:pStyle w:val="a7"/>
          <w:jc w:val="center"/>
        </w:pPr>
        <w:r w:rsidRPr="00202052">
          <w:rPr>
            <w:sz w:val="24"/>
            <w:szCs w:val="24"/>
          </w:rPr>
          <w:fldChar w:fldCharType="begin"/>
        </w:r>
        <w:r w:rsidRPr="00202052">
          <w:rPr>
            <w:sz w:val="24"/>
            <w:szCs w:val="24"/>
          </w:rPr>
          <w:instrText xml:space="preserve"> PAGE   \* MERGEFORMAT </w:instrText>
        </w:r>
        <w:r w:rsidRPr="00202052">
          <w:rPr>
            <w:sz w:val="24"/>
            <w:szCs w:val="24"/>
          </w:rPr>
          <w:fldChar w:fldCharType="separate"/>
        </w:r>
        <w:r w:rsidR="00853793">
          <w:rPr>
            <w:noProof/>
            <w:sz w:val="24"/>
            <w:szCs w:val="24"/>
          </w:rPr>
          <w:t>4</w:t>
        </w:r>
        <w:r w:rsidRPr="0020205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588C"/>
    <w:multiLevelType w:val="hybridMultilevel"/>
    <w:tmpl w:val="9A80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4B6"/>
    <w:rsid w:val="0013097E"/>
    <w:rsid w:val="00134895"/>
    <w:rsid w:val="0016337F"/>
    <w:rsid w:val="00176884"/>
    <w:rsid w:val="001B0C38"/>
    <w:rsid w:val="00202052"/>
    <w:rsid w:val="00440DD0"/>
    <w:rsid w:val="00471817"/>
    <w:rsid w:val="004D4D75"/>
    <w:rsid w:val="00534776"/>
    <w:rsid w:val="00571614"/>
    <w:rsid w:val="00587CA0"/>
    <w:rsid w:val="006010A2"/>
    <w:rsid w:val="00603479"/>
    <w:rsid w:val="00624D91"/>
    <w:rsid w:val="006F7A1C"/>
    <w:rsid w:val="0076039C"/>
    <w:rsid w:val="007D4002"/>
    <w:rsid w:val="008324B6"/>
    <w:rsid w:val="00853793"/>
    <w:rsid w:val="0088446C"/>
    <w:rsid w:val="008F58EC"/>
    <w:rsid w:val="0090113E"/>
    <w:rsid w:val="0094372D"/>
    <w:rsid w:val="00AC60F8"/>
    <w:rsid w:val="00B34147"/>
    <w:rsid w:val="00B54BFB"/>
    <w:rsid w:val="00C65B8C"/>
    <w:rsid w:val="00CB36E4"/>
    <w:rsid w:val="00CB54F9"/>
    <w:rsid w:val="00CC1580"/>
    <w:rsid w:val="00CF5483"/>
    <w:rsid w:val="00D503AB"/>
    <w:rsid w:val="00D76FA7"/>
    <w:rsid w:val="00D82F89"/>
    <w:rsid w:val="00DD161D"/>
    <w:rsid w:val="00DD511A"/>
    <w:rsid w:val="00E000A3"/>
    <w:rsid w:val="00E317F8"/>
    <w:rsid w:val="00E351EA"/>
    <w:rsid w:val="00EC64ED"/>
    <w:rsid w:val="00EE5621"/>
    <w:rsid w:val="00EF5B03"/>
    <w:rsid w:val="00F0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4B6"/>
    <w:pPr>
      <w:keepNext/>
      <w:autoSpaceDE w:val="0"/>
      <w:autoSpaceDN w:val="0"/>
      <w:ind w:left="-567" w:firstLine="993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88446C"/>
    <w:pPr>
      <w:ind w:firstLine="536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84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5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20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20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0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C9C8-F0AA-444A-B277-C778AFFE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2011-07-29T07:56:00Z</cp:lastPrinted>
  <dcterms:created xsi:type="dcterms:W3CDTF">2011-04-04T09:16:00Z</dcterms:created>
  <dcterms:modified xsi:type="dcterms:W3CDTF">2011-07-29T08:26:00Z</dcterms:modified>
</cp:coreProperties>
</file>