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87A9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13.01.2020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087A93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</w:t>
            </w:r>
            <w:r w:rsidR="004877B4">
              <w:rPr>
                <w:u w:val="single"/>
              </w:rPr>
              <w:t xml:space="preserve">№ </w:t>
            </w:r>
            <w:r w:rsidR="00087A93">
              <w:rPr>
                <w:u w:val="single"/>
              </w:rPr>
              <w:t>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  <w:bookmarkStart w:id="0" w:name="_GoBack"/>
    </w:p>
    <w:bookmarkEnd w:id="0"/>
    <w:p w:rsidR="00087A93" w:rsidRDefault="00087A93" w:rsidP="00087A9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порядка проведения Финансовым управлением Администрации Североуральского городского округа анализа финансового состояния принципала в целях предоставления муниципальных гарантий Североуральского городского округа</w:t>
      </w:r>
    </w:p>
    <w:p w:rsidR="00087A93" w:rsidRDefault="00087A93" w:rsidP="00087A93">
      <w:pPr>
        <w:jc w:val="both"/>
        <w:rPr>
          <w:sz w:val="24"/>
          <w:szCs w:val="24"/>
        </w:rPr>
      </w:pPr>
    </w:p>
    <w:p w:rsidR="00087A93" w:rsidRDefault="00087A93" w:rsidP="00087A93">
      <w:pPr>
        <w:jc w:val="both"/>
        <w:rPr>
          <w:sz w:val="24"/>
          <w:szCs w:val="24"/>
        </w:rPr>
      </w:pPr>
    </w:p>
    <w:p w:rsidR="00087A93" w:rsidRDefault="00087A93" w:rsidP="00087A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115.2 Бюджетного кодекса Российской Федерации Администрация Североуральского городского округа</w:t>
      </w:r>
    </w:p>
    <w:p w:rsidR="00087A93" w:rsidRPr="00087A93" w:rsidRDefault="00087A93" w:rsidP="00087A93">
      <w:pPr>
        <w:adjustRightInd w:val="0"/>
        <w:ind w:firstLine="709"/>
        <w:jc w:val="both"/>
        <w:rPr>
          <w:b/>
          <w:szCs w:val="28"/>
        </w:rPr>
      </w:pPr>
      <w:r w:rsidRPr="00087A93">
        <w:rPr>
          <w:b/>
          <w:szCs w:val="28"/>
        </w:rPr>
        <w:t>ПОСТАНОВЛЯЕТ:</w:t>
      </w:r>
    </w:p>
    <w:p w:rsidR="00087A93" w:rsidRDefault="00087A93" w:rsidP="00087A93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1. Утвердить </w:t>
      </w:r>
      <w:hyperlink r:id="rId7" w:history="1">
        <w:r w:rsidRPr="00087A93">
          <w:rPr>
            <w:rStyle w:val="a5"/>
            <w:rFonts w:ascii="PT Astra Serif" w:hAnsi="PT Astra Serif"/>
            <w:b w:val="0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PT Astra Serif" w:hAnsi="PT Astra Serif"/>
          <w:b w:val="0"/>
          <w:sz w:val="28"/>
          <w:szCs w:val="28"/>
        </w:rPr>
        <w:t xml:space="preserve"> проведения Финансовым управлением Администрации Североуральского городского округа анализа финансового состояния принципалов в целях предоставления муниципальных гарантий Североуральского городского округа (прилагается).</w:t>
      </w:r>
    </w:p>
    <w:p w:rsidR="00087A93" w:rsidRDefault="00087A93" w:rsidP="00087A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Установить, что настоящее постановление вступает в силу с даты принятия и распространяется на пр</w:t>
      </w:r>
      <w:r>
        <w:rPr>
          <w:szCs w:val="28"/>
        </w:rPr>
        <w:t>авоотношения, возникшие с 01 января 2020 года</w:t>
      </w:r>
    </w:p>
    <w:p w:rsidR="00087A93" w:rsidRDefault="00087A93" w:rsidP="00087A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 Контроль за исполнением настоящего</w:t>
      </w:r>
      <w:r>
        <w:rPr>
          <w:szCs w:val="28"/>
        </w:rPr>
        <w:t xml:space="preserve"> постановления возложить на исполняющего обязанности</w:t>
      </w:r>
      <w:r>
        <w:rPr>
          <w:szCs w:val="28"/>
        </w:rPr>
        <w:t xml:space="preserve"> Первого заместителя Главы Администрации Североуральского городского округа В.В.</w:t>
      </w:r>
      <w:r>
        <w:rPr>
          <w:szCs w:val="28"/>
        </w:rPr>
        <w:t xml:space="preserve"> </w:t>
      </w:r>
      <w:r>
        <w:rPr>
          <w:szCs w:val="28"/>
        </w:rPr>
        <w:t>Паслера.</w:t>
      </w:r>
    </w:p>
    <w:p w:rsidR="00087A93" w:rsidRDefault="00087A93" w:rsidP="00087A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 Настоящее постановление разместить на официальном сайте Администрации Североуральского городского округа.</w:t>
      </w:r>
    </w:p>
    <w:p w:rsidR="00087A93" w:rsidRDefault="00087A93" w:rsidP="00087A93">
      <w:pPr>
        <w:adjustRightInd w:val="0"/>
        <w:ind w:firstLine="709"/>
        <w:jc w:val="both"/>
        <w:rPr>
          <w:szCs w:val="28"/>
        </w:rPr>
      </w:pPr>
    </w:p>
    <w:p w:rsidR="00087A93" w:rsidRDefault="00087A93" w:rsidP="00087A93">
      <w:pPr>
        <w:adjustRightInd w:val="0"/>
        <w:ind w:firstLine="709"/>
        <w:jc w:val="both"/>
        <w:rPr>
          <w:szCs w:val="20"/>
        </w:rPr>
      </w:pPr>
    </w:p>
    <w:p w:rsidR="00087A93" w:rsidRDefault="00087A93" w:rsidP="00087A93">
      <w:pPr>
        <w:rPr>
          <w:szCs w:val="28"/>
        </w:rPr>
      </w:pPr>
      <w:r>
        <w:rPr>
          <w:szCs w:val="28"/>
        </w:rPr>
        <w:t xml:space="preserve">Глава </w:t>
      </w:r>
    </w:p>
    <w:p w:rsidR="00087A93" w:rsidRDefault="00087A93" w:rsidP="00087A93">
      <w:pPr>
        <w:rPr>
          <w:szCs w:val="28"/>
        </w:rPr>
      </w:pPr>
      <w:r>
        <w:rPr>
          <w:szCs w:val="28"/>
        </w:rPr>
        <w:t>Североуральского городского округа                                              В.П.</w:t>
      </w:r>
      <w:r>
        <w:rPr>
          <w:szCs w:val="28"/>
        </w:rPr>
        <w:t xml:space="preserve"> </w:t>
      </w:r>
      <w:r>
        <w:rPr>
          <w:szCs w:val="28"/>
        </w:rPr>
        <w:t>Матюшенко</w:t>
      </w:r>
    </w:p>
    <w:p w:rsidR="00087A93" w:rsidRDefault="00087A93" w:rsidP="00087A93">
      <w:pPr>
        <w:adjustRightInd w:val="0"/>
        <w:jc w:val="both"/>
        <w:rPr>
          <w:szCs w:val="20"/>
        </w:rPr>
      </w:pPr>
    </w:p>
    <w:p w:rsidR="00087A93" w:rsidRDefault="00087A93" w:rsidP="00087A93">
      <w:pPr>
        <w:adjustRightInd w:val="0"/>
        <w:jc w:val="both"/>
      </w:pPr>
    </w:p>
    <w:p w:rsidR="00087A93" w:rsidRDefault="00087A93" w:rsidP="00087A93">
      <w:pPr>
        <w:adjustRightInd w:val="0"/>
        <w:jc w:val="both"/>
      </w:pPr>
    </w:p>
    <w:p w:rsidR="00087A93" w:rsidRDefault="00087A93" w:rsidP="00087A93">
      <w:pPr>
        <w:adjustRightInd w:val="0"/>
        <w:jc w:val="both"/>
      </w:pPr>
    </w:p>
    <w:p w:rsidR="00087A93" w:rsidRDefault="00087A93" w:rsidP="00087A93">
      <w:pPr>
        <w:adjustRightInd w:val="0"/>
        <w:jc w:val="both"/>
      </w:pPr>
    </w:p>
    <w:p w:rsidR="00087A93" w:rsidRDefault="00087A93" w:rsidP="00087A93">
      <w:pPr>
        <w:adjustRightInd w:val="0"/>
        <w:jc w:val="both"/>
      </w:pPr>
    </w:p>
    <w:p w:rsidR="00087A93" w:rsidRDefault="00087A93" w:rsidP="00087A93">
      <w:pPr>
        <w:adjustRightInd w:val="0"/>
        <w:jc w:val="both"/>
      </w:pPr>
    </w:p>
    <w:p w:rsidR="00087A93" w:rsidRDefault="00087A93" w:rsidP="00087A93">
      <w:pPr>
        <w:adjustRightInd w:val="0"/>
        <w:jc w:val="both"/>
      </w:pPr>
    </w:p>
    <w:p w:rsidR="00087A93" w:rsidRDefault="00087A93" w:rsidP="00087A93">
      <w:pPr>
        <w:adjustRightInd w:val="0"/>
        <w:jc w:val="both"/>
      </w:pPr>
    </w:p>
    <w:tbl>
      <w:tblPr>
        <w:tblW w:w="5103" w:type="dxa"/>
        <w:tblInd w:w="5353" w:type="dxa"/>
        <w:tblLook w:val="04A0" w:firstRow="1" w:lastRow="0" w:firstColumn="1" w:lastColumn="0" w:noHBand="0" w:noVBand="1"/>
      </w:tblPr>
      <w:tblGrid>
        <w:gridCol w:w="5103"/>
      </w:tblGrid>
      <w:tr w:rsidR="00087A93" w:rsidRPr="00087A93" w:rsidTr="00087A93">
        <w:tc>
          <w:tcPr>
            <w:tcW w:w="5103" w:type="dxa"/>
            <w:hideMark/>
          </w:tcPr>
          <w:p w:rsidR="00087A93" w:rsidRPr="00087A93" w:rsidRDefault="00087A93">
            <w:pPr>
              <w:adjustRightInd w:val="0"/>
              <w:outlineLvl w:val="0"/>
              <w:rPr>
                <w:sz w:val="26"/>
                <w:szCs w:val="26"/>
              </w:rPr>
            </w:pPr>
            <w:r w:rsidRPr="00087A93">
              <w:rPr>
                <w:sz w:val="26"/>
                <w:szCs w:val="26"/>
              </w:rPr>
              <w:lastRenderedPageBreak/>
              <w:t>УТВЕРЖДЕН</w:t>
            </w:r>
          </w:p>
          <w:p w:rsidR="00087A93" w:rsidRPr="00087A93" w:rsidRDefault="00087A93">
            <w:pPr>
              <w:adjustRightInd w:val="0"/>
              <w:rPr>
                <w:sz w:val="26"/>
                <w:szCs w:val="26"/>
              </w:rPr>
            </w:pPr>
            <w:r w:rsidRPr="00087A93">
              <w:rPr>
                <w:sz w:val="26"/>
                <w:szCs w:val="26"/>
              </w:rPr>
              <w:t>п</w:t>
            </w:r>
            <w:r w:rsidRPr="00087A93">
              <w:rPr>
                <w:sz w:val="26"/>
                <w:szCs w:val="26"/>
              </w:rPr>
              <w:t xml:space="preserve">остановлением Администрации </w:t>
            </w:r>
          </w:p>
          <w:p w:rsidR="00087A93" w:rsidRPr="00087A93" w:rsidRDefault="00087A93">
            <w:pPr>
              <w:adjustRightInd w:val="0"/>
              <w:rPr>
                <w:sz w:val="26"/>
                <w:szCs w:val="26"/>
              </w:rPr>
            </w:pPr>
            <w:r w:rsidRPr="00087A93">
              <w:rPr>
                <w:sz w:val="26"/>
                <w:szCs w:val="26"/>
              </w:rPr>
              <w:t>Североуральского</w:t>
            </w:r>
            <w:r w:rsidRPr="00087A93">
              <w:rPr>
                <w:sz w:val="26"/>
                <w:szCs w:val="26"/>
              </w:rPr>
              <w:t xml:space="preserve"> </w:t>
            </w:r>
            <w:r w:rsidRPr="00087A93">
              <w:rPr>
                <w:sz w:val="26"/>
                <w:szCs w:val="26"/>
              </w:rPr>
              <w:t>городского округа</w:t>
            </w:r>
          </w:p>
          <w:p w:rsidR="00087A93" w:rsidRPr="00087A93" w:rsidRDefault="00087A93">
            <w:pPr>
              <w:adjustRightInd w:val="0"/>
              <w:rPr>
                <w:sz w:val="26"/>
                <w:szCs w:val="26"/>
                <w:u w:val="single"/>
              </w:rPr>
            </w:pPr>
            <w:r w:rsidRPr="00087A93">
              <w:rPr>
                <w:sz w:val="26"/>
                <w:szCs w:val="26"/>
              </w:rPr>
              <w:t xml:space="preserve">от </w:t>
            </w:r>
            <w:r w:rsidRPr="00087A93">
              <w:rPr>
                <w:sz w:val="26"/>
                <w:szCs w:val="26"/>
                <w:u w:val="single"/>
              </w:rPr>
              <w:t>13.01.2020</w:t>
            </w:r>
            <w:r w:rsidRPr="00087A93">
              <w:rPr>
                <w:sz w:val="26"/>
                <w:szCs w:val="26"/>
              </w:rPr>
              <w:t xml:space="preserve"> № </w:t>
            </w:r>
            <w:r w:rsidRPr="00087A93">
              <w:rPr>
                <w:sz w:val="26"/>
                <w:szCs w:val="26"/>
                <w:u w:val="single"/>
              </w:rPr>
              <w:t>9</w:t>
            </w:r>
          </w:p>
          <w:p w:rsidR="00087A93" w:rsidRPr="00087A93" w:rsidRDefault="00087A93">
            <w:pPr>
              <w:pStyle w:val="ConsPlusTitle"/>
              <w:widowControl/>
              <w:rPr>
                <w:rFonts w:ascii="PT Astra Serif" w:hAnsi="PT Astra Serif"/>
                <w:sz w:val="26"/>
                <w:szCs w:val="26"/>
              </w:rPr>
            </w:pPr>
            <w:r w:rsidRPr="00087A93">
              <w:rPr>
                <w:rFonts w:ascii="PT Astra Serif" w:hAnsi="PT Astra Serif"/>
                <w:b w:val="0"/>
                <w:sz w:val="26"/>
                <w:szCs w:val="26"/>
              </w:rPr>
              <w:t>«Об утверждении порядка проведения Финансовым управлением Администрации Североуральского городского округа анализа финансового состояния принципала в целях предоставления муниципальных гарантий Североуральского городского округа»</w:t>
            </w:r>
          </w:p>
        </w:tc>
      </w:tr>
    </w:tbl>
    <w:p w:rsidR="00087A93" w:rsidRPr="00087A93" w:rsidRDefault="00087A93" w:rsidP="00087A93">
      <w:pPr>
        <w:adjustRightInd w:val="0"/>
        <w:jc w:val="both"/>
        <w:rPr>
          <w:sz w:val="26"/>
          <w:szCs w:val="26"/>
        </w:rPr>
      </w:pPr>
    </w:p>
    <w:p w:rsidR="00087A93" w:rsidRDefault="00087A93" w:rsidP="00087A93">
      <w:pPr>
        <w:adjustRightInd w:val="0"/>
        <w:ind w:firstLine="540"/>
        <w:jc w:val="both"/>
      </w:pPr>
    </w:p>
    <w:p w:rsidR="00087A93" w:rsidRDefault="00087A93" w:rsidP="00087A93">
      <w:pPr>
        <w:adjustRightInd w:val="0"/>
        <w:ind w:firstLine="540"/>
        <w:jc w:val="center"/>
        <w:rPr>
          <w:b/>
        </w:rPr>
      </w:pPr>
      <w:hyperlink r:id="rId8" w:history="1">
        <w:r w:rsidRPr="00087A93">
          <w:rPr>
            <w:rStyle w:val="a5"/>
            <w:b/>
            <w:color w:val="auto"/>
            <w:u w:val="none"/>
          </w:rPr>
          <w:t>Порядок</w:t>
        </w:r>
      </w:hyperlink>
      <w:r>
        <w:rPr>
          <w:b/>
        </w:rPr>
        <w:t xml:space="preserve"> проведения Финансовым управлением Администрации Североуральского городского округа анализа финансового состояния принципала в целях предоставления муниципальных гарантий Североуральского городского округа</w:t>
      </w:r>
    </w:p>
    <w:p w:rsidR="00087A93" w:rsidRDefault="00087A93" w:rsidP="00087A93">
      <w:pPr>
        <w:adjustRightInd w:val="0"/>
        <w:ind w:firstLine="540"/>
        <w:jc w:val="center"/>
      </w:pPr>
    </w:p>
    <w:p w:rsidR="00087A93" w:rsidRDefault="00087A93" w:rsidP="00087A93">
      <w:pPr>
        <w:adjustRightInd w:val="0"/>
        <w:ind w:firstLine="709"/>
        <w:jc w:val="both"/>
      </w:pPr>
      <w:r>
        <w:t>1. Настоящий Порядок регламентирует проведение Финансовым управлением Администрации Североуральского городского округа анализа финансового состояния принципала в целях предоставления муниципальных гарантий Североуральского городского округа для получения объективной оценки их способности исполнить обязательство, обеспеченное гарантией Североуральского городского округа.</w:t>
      </w:r>
    </w:p>
    <w:p w:rsidR="00087A93" w:rsidRDefault="00087A93" w:rsidP="00087A93">
      <w:pPr>
        <w:adjustRightInd w:val="0"/>
        <w:ind w:firstLine="709"/>
        <w:jc w:val="both"/>
      </w:pPr>
      <w:r>
        <w:t>2. Анализ финансового состояния принципала осуществляется отделом прогнозирования доходов Финансового управления Администрации Североуральского городского округа.</w:t>
      </w:r>
    </w:p>
    <w:p w:rsidR="00087A93" w:rsidRPr="00087A93" w:rsidRDefault="00087A93" w:rsidP="00087A93">
      <w:pPr>
        <w:adjustRightInd w:val="0"/>
        <w:ind w:firstLine="709"/>
        <w:jc w:val="both"/>
        <w:rPr>
          <w:szCs w:val="28"/>
        </w:rPr>
      </w:pPr>
      <w:r>
        <w:t xml:space="preserve">3. Для проведения анализа финансового состояния принципал предоставляет в Финансовое управление Администрации Североуральского городского округа копии бухгалтерской отчетности за отчетный год, на последнюю отчетную дату текущего года и на аналогичную дату предшествующего года с отметкой налогового органа, включая: </w:t>
      </w:r>
      <w:r>
        <w:rPr>
          <w:szCs w:val="28"/>
        </w:rPr>
        <w:t xml:space="preserve">бухгалтерский баланс </w:t>
      </w:r>
      <w:hyperlink r:id="rId9" w:history="1">
        <w:r w:rsidRPr="00087A93">
          <w:rPr>
            <w:rStyle w:val="a5"/>
            <w:color w:val="auto"/>
            <w:szCs w:val="28"/>
            <w:u w:val="none"/>
          </w:rPr>
          <w:t>(форма по ОКУД 0710001)</w:t>
        </w:r>
      </w:hyperlink>
      <w:r w:rsidRPr="00087A93">
        <w:rPr>
          <w:szCs w:val="28"/>
        </w:rPr>
        <w:t>;</w:t>
      </w:r>
    </w:p>
    <w:p w:rsidR="00087A93" w:rsidRPr="00087A93" w:rsidRDefault="00087A93" w:rsidP="00087A93">
      <w:pPr>
        <w:adjustRightInd w:val="0"/>
        <w:ind w:firstLine="709"/>
        <w:jc w:val="both"/>
        <w:rPr>
          <w:szCs w:val="28"/>
        </w:rPr>
      </w:pPr>
      <w:r w:rsidRPr="00087A93">
        <w:rPr>
          <w:szCs w:val="28"/>
        </w:rPr>
        <w:t xml:space="preserve">отчет о прибылях и убытках </w:t>
      </w:r>
      <w:hyperlink r:id="rId10" w:history="1">
        <w:r w:rsidRPr="00087A93">
          <w:rPr>
            <w:rStyle w:val="a5"/>
            <w:color w:val="auto"/>
            <w:szCs w:val="28"/>
            <w:u w:val="none"/>
          </w:rPr>
          <w:t>(форма по ОКУД 0710002)</w:t>
        </w:r>
      </w:hyperlink>
      <w:r w:rsidRPr="00087A93">
        <w:rPr>
          <w:szCs w:val="28"/>
        </w:rPr>
        <w:t>;</w:t>
      </w:r>
    </w:p>
    <w:p w:rsidR="00087A93" w:rsidRPr="00087A93" w:rsidRDefault="00087A93" w:rsidP="00087A93">
      <w:pPr>
        <w:adjustRightInd w:val="0"/>
        <w:ind w:firstLine="709"/>
        <w:jc w:val="both"/>
        <w:rPr>
          <w:szCs w:val="28"/>
        </w:rPr>
      </w:pPr>
      <w:r w:rsidRPr="00087A93">
        <w:rPr>
          <w:szCs w:val="28"/>
        </w:rPr>
        <w:t xml:space="preserve">отчет об изменениях капитала </w:t>
      </w:r>
      <w:hyperlink r:id="rId11" w:history="1">
        <w:r w:rsidRPr="00087A93">
          <w:rPr>
            <w:rStyle w:val="a5"/>
            <w:color w:val="auto"/>
            <w:szCs w:val="28"/>
            <w:u w:val="none"/>
          </w:rPr>
          <w:t>(форма по ОКУД 0710003)</w:t>
        </w:r>
      </w:hyperlink>
      <w:r w:rsidRPr="00087A93">
        <w:rPr>
          <w:szCs w:val="28"/>
        </w:rPr>
        <w:t>;</w:t>
      </w:r>
    </w:p>
    <w:p w:rsidR="00087A93" w:rsidRPr="00087A93" w:rsidRDefault="00087A93" w:rsidP="00087A93">
      <w:pPr>
        <w:adjustRightInd w:val="0"/>
        <w:ind w:firstLine="709"/>
        <w:jc w:val="both"/>
        <w:rPr>
          <w:szCs w:val="28"/>
        </w:rPr>
      </w:pPr>
      <w:r w:rsidRPr="00087A93">
        <w:rPr>
          <w:szCs w:val="28"/>
        </w:rPr>
        <w:t xml:space="preserve">отчет о движении денежных средств </w:t>
      </w:r>
      <w:hyperlink r:id="rId12" w:history="1">
        <w:r w:rsidRPr="00087A93">
          <w:rPr>
            <w:rStyle w:val="a5"/>
            <w:color w:val="auto"/>
            <w:szCs w:val="28"/>
            <w:u w:val="none"/>
          </w:rPr>
          <w:t>(форма по ОКУД 0710004)</w:t>
        </w:r>
      </w:hyperlink>
      <w:r w:rsidRPr="00087A93">
        <w:rPr>
          <w:szCs w:val="28"/>
        </w:rPr>
        <w:t>;</w:t>
      </w:r>
    </w:p>
    <w:p w:rsidR="00087A93" w:rsidRPr="00087A93" w:rsidRDefault="00087A93" w:rsidP="00087A93">
      <w:pPr>
        <w:adjustRightInd w:val="0"/>
        <w:ind w:firstLine="709"/>
        <w:jc w:val="both"/>
        <w:rPr>
          <w:szCs w:val="28"/>
        </w:rPr>
      </w:pPr>
      <w:r w:rsidRPr="00087A93">
        <w:rPr>
          <w:szCs w:val="28"/>
        </w:rPr>
        <w:t xml:space="preserve">пояснения к бухгалтерскому балансу и отчету о прибылях и убытках </w:t>
      </w:r>
      <w:hyperlink r:id="rId13" w:history="1">
        <w:r w:rsidRPr="00087A93">
          <w:rPr>
            <w:rStyle w:val="a5"/>
            <w:color w:val="auto"/>
            <w:szCs w:val="28"/>
            <w:u w:val="none"/>
          </w:rPr>
          <w:t>(форма по ОКУД 0710005)</w:t>
        </w:r>
      </w:hyperlink>
      <w:r w:rsidRPr="00087A93">
        <w:rPr>
          <w:szCs w:val="28"/>
        </w:rPr>
        <w:t>;</w:t>
      </w:r>
    </w:p>
    <w:p w:rsidR="00087A93" w:rsidRDefault="00087A93" w:rsidP="00087A93">
      <w:pPr>
        <w:adjustRightInd w:val="0"/>
        <w:ind w:firstLine="709"/>
        <w:jc w:val="both"/>
        <w:rPr>
          <w:szCs w:val="28"/>
        </w:rPr>
      </w:pPr>
      <w:r w:rsidRPr="00087A93">
        <w:rPr>
          <w:rFonts w:cs="Courier New"/>
          <w:szCs w:val="28"/>
        </w:rPr>
        <w:t xml:space="preserve">отчет о целевом использовании полученных средств </w:t>
      </w:r>
      <w:hyperlink r:id="rId14" w:history="1">
        <w:r w:rsidRPr="00087A93">
          <w:rPr>
            <w:rStyle w:val="a5"/>
            <w:color w:val="auto"/>
            <w:szCs w:val="28"/>
            <w:u w:val="none"/>
          </w:rPr>
          <w:t>(форма по ОКУД 0710006)</w:t>
        </w:r>
      </w:hyperlink>
      <w:r>
        <w:rPr>
          <w:szCs w:val="28"/>
        </w:rPr>
        <w:t>;</w:t>
      </w:r>
    </w:p>
    <w:p w:rsidR="00087A93" w:rsidRDefault="00087A93" w:rsidP="00087A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пояснительную записку с изложением основных факторов, повлиявших в</w:t>
      </w:r>
      <w:r>
        <w:rPr>
          <w:szCs w:val="28"/>
        </w:rPr>
        <w:t> </w:t>
      </w:r>
      <w:r>
        <w:rPr>
          <w:szCs w:val="28"/>
        </w:rPr>
        <w:t>отчетном периоде на итоговые результаты деятельности принципала, с</w:t>
      </w:r>
      <w:r>
        <w:rPr>
          <w:szCs w:val="28"/>
        </w:rPr>
        <w:t> </w:t>
      </w:r>
      <w:r>
        <w:rPr>
          <w:szCs w:val="28"/>
        </w:rPr>
        <w:t>оценкой его финансового состояния;</w:t>
      </w:r>
    </w:p>
    <w:p w:rsidR="00087A93" w:rsidRDefault="00087A93" w:rsidP="00087A93">
      <w:pPr>
        <w:adjustRightInd w:val="0"/>
        <w:ind w:firstLine="709"/>
        <w:jc w:val="both"/>
        <w:rPr>
          <w:szCs w:val="20"/>
        </w:rPr>
      </w:pPr>
      <w:r>
        <w:t>итоговую часть аудиторского заключения, подтверждающую степень достоверности сведений, включаемых в бухгалтерскую отчетность принципала.</w:t>
      </w:r>
    </w:p>
    <w:p w:rsidR="00087A93" w:rsidRDefault="00087A93" w:rsidP="00087A93">
      <w:pPr>
        <w:adjustRightInd w:val="0"/>
        <w:ind w:firstLine="709"/>
        <w:jc w:val="both"/>
      </w:pPr>
      <w:r>
        <w:lastRenderedPageBreak/>
        <w:t>Представляемые в соответствии с настоящим Порядком копии бухгалтерской отчетности должны быть прошиты, пронумерованы, заверены подписью руководителя и печатью соответствующего юридического лица.</w:t>
      </w:r>
    </w:p>
    <w:p w:rsidR="00087A93" w:rsidRDefault="00087A93" w:rsidP="00087A93">
      <w:pPr>
        <w:adjustRightInd w:val="0"/>
        <w:ind w:firstLine="709"/>
        <w:jc w:val="both"/>
      </w:pPr>
      <w:r>
        <w:t>4. Анализ финансового состояния включает в себя два этапа.</w:t>
      </w:r>
    </w:p>
    <w:p w:rsidR="00087A93" w:rsidRDefault="00087A93" w:rsidP="00087A93">
      <w:pPr>
        <w:adjustRightInd w:val="0"/>
        <w:ind w:firstLine="709"/>
        <w:jc w:val="both"/>
      </w:pPr>
      <w:r>
        <w:t>На первом этапе, на основании данных бухгалтерского учета на</w:t>
      </w:r>
      <w:r>
        <w:t> </w:t>
      </w:r>
      <w:r>
        <w:t>последнюю отчетную дату проводится расчет следующих показателей:</w:t>
      </w:r>
    </w:p>
    <w:p w:rsidR="00087A93" w:rsidRDefault="00087A93" w:rsidP="00087A93">
      <w:pPr>
        <w:adjustRightInd w:val="0"/>
        <w:ind w:firstLine="709"/>
        <w:jc w:val="both"/>
      </w:pPr>
      <w:r>
        <w:t>1) степень платежеспособности по текущим обязательствам;</w:t>
      </w:r>
    </w:p>
    <w:p w:rsidR="00087A93" w:rsidRDefault="00087A93" w:rsidP="00087A93">
      <w:pPr>
        <w:adjustRightInd w:val="0"/>
        <w:ind w:firstLine="709"/>
        <w:jc w:val="both"/>
      </w:pPr>
      <w:r>
        <w:t>2) коэффициент текущей ликвидности.</w:t>
      </w:r>
    </w:p>
    <w:p w:rsidR="00087A93" w:rsidRDefault="00087A93" w:rsidP="00087A93">
      <w:pPr>
        <w:adjustRightInd w:val="0"/>
        <w:ind w:firstLine="709"/>
        <w:jc w:val="both"/>
      </w:pPr>
      <w:r>
        <w:t>Степень платежеспособности по текущим обязательствам определяется как отношение рассчитываемых по форме по ОКУД 0710001 бухгалтерской отчетности текущих обязательств (краткосрочных обязательств, за исключением доходов будущих периодов и оценочных обязательств) к среднемесячной выручке, рассчитываемой по форме по ОКУД 0710002 бухгалтерской отчетности как отношение выручки, полученной за отчетный период, к количеству месяцев в отчетном периоде.</w:t>
      </w:r>
    </w:p>
    <w:p w:rsidR="00087A93" w:rsidRDefault="00087A93" w:rsidP="00087A93">
      <w:pPr>
        <w:adjustRightInd w:val="0"/>
        <w:ind w:firstLine="709"/>
        <w:jc w:val="both"/>
      </w:pPr>
      <w:r>
        <w:t>Коэффициент текущей ликвидности определяется по форме по ОКУД 0710001 бухгалтерской отчетности как отношение ликвидных активов в виде суммы денежных средств и денежных эквивалентов (код 1250), краткосрочных финансовых вложений, товаров отгруженных, готовой продукции и товаров для перепродажи, краткосрочной дебиторской задолженности, прочих оборотных активов к текущим обязательствам, включающим в себя сумму займов и</w:t>
      </w:r>
      <w:r>
        <w:t> </w:t>
      </w:r>
      <w:r>
        <w:t>кредитов, подлежащих погашению в течение 12 месяцев после отчетной даты, кредиторской задолженности (код 1520), задолженности участникам (учредителям) по выплате доходов и прочих краткосрочных обязательств.</w:t>
      </w:r>
    </w:p>
    <w:p w:rsidR="00087A93" w:rsidRDefault="00087A93" w:rsidP="00087A93">
      <w:pPr>
        <w:adjustRightInd w:val="0"/>
        <w:ind w:firstLine="709"/>
        <w:jc w:val="both"/>
      </w:pPr>
      <w:r>
        <w:t>Если степень платежеспособности по текущим обязательствам меньше или равна 6 месяцам и (или) коэффициент текущей ликвидности больше или равен 1, то проводится второй этап анализа.</w:t>
      </w:r>
    </w:p>
    <w:p w:rsidR="00087A93" w:rsidRDefault="00087A93" w:rsidP="00087A93">
      <w:pPr>
        <w:adjustRightInd w:val="0"/>
        <w:ind w:firstLine="709"/>
        <w:jc w:val="both"/>
      </w:pPr>
      <w:r>
        <w:t>Если степень платежеспособности по текущим обязательствам больше 6 месяцев и одновременно коэффициент текущей ликвидности меньше 1, то</w:t>
      </w:r>
      <w:r>
        <w:t> </w:t>
      </w:r>
      <w:r>
        <w:t>принципал признается не имеющим достаточных финансовых ресурсов для обеспечения своей платежеспособности.</w:t>
      </w:r>
    </w:p>
    <w:p w:rsidR="00087A93" w:rsidRDefault="00087A93" w:rsidP="00087A93">
      <w:pPr>
        <w:adjustRightInd w:val="0"/>
        <w:ind w:firstLine="709"/>
        <w:jc w:val="both"/>
      </w:pPr>
      <w:r>
        <w:t>5. Второй этап анализа финансового состояния включает в себя оценку следующих показателей:</w:t>
      </w:r>
    </w:p>
    <w:p w:rsidR="00087A93" w:rsidRPr="00087A93" w:rsidRDefault="00087A93" w:rsidP="00087A93">
      <w:pPr>
        <w:adjustRightInd w:val="0"/>
        <w:ind w:firstLine="709"/>
        <w:jc w:val="both"/>
      </w:pPr>
      <w:r>
        <w:t xml:space="preserve">1) выручки от продажи товаров, работ и услуг (ее увеличение за отчетный год и на последнюю отчетную дату по сравнению с соответствующими периодами предшествующего года) по </w:t>
      </w:r>
      <w:hyperlink r:id="rId15" w:history="1">
        <w:r w:rsidRPr="00087A93">
          <w:rPr>
            <w:rStyle w:val="a5"/>
            <w:color w:val="auto"/>
            <w:u w:val="none"/>
          </w:rPr>
          <w:t>форме N 2</w:t>
        </w:r>
      </w:hyperlink>
      <w:r w:rsidRPr="00087A93">
        <w:t xml:space="preserve"> строка 010;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2) финансового результата от основной деятельности (его увеличение за</w:t>
      </w:r>
      <w:r>
        <w:t> </w:t>
      </w:r>
      <w:r w:rsidRPr="00087A93">
        <w:t>отчетный год и на последнюю отчетную дату по сравнению с</w:t>
      </w:r>
      <w:r>
        <w:t> </w:t>
      </w:r>
      <w:r w:rsidRPr="00087A93">
        <w:t xml:space="preserve">соответствующими периодами предшествующего года) по </w:t>
      </w:r>
      <w:hyperlink r:id="rId16" w:history="1">
        <w:r w:rsidRPr="00087A93">
          <w:rPr>
            <w:rStyle w:val="a5"/>
            <w:color w:val="auto"/>
            <w:u w:val="none"/>
          </w:rPr>
          <w:t>форме N 2</w:t>
        </w:r>
      </w:hyperlink>
      <w:r w:rsidRPr="00087A93">
        <w:t xml:space="preserve"> строка 050;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3) финансового результата до налогообложения (его увеличение за</w:t>
      </w:r>
      <w:r>
        <w:t> </w:t>
      </w:r>
      <w:r w:rsidRPr="00087A93">
        <w:t>отчетный год и на последнюю отчетную дату по сравнению с</w:t>
      </w:r>
      <w:r>
        <w:t> </w:t>
      </w:r>
      <w:r w:rsidRPr="00087A93">
        <w:t xml:space="preserve">соответствующими периодами предшествующего года) по </w:t>
      </w:r>
      <w:hyperlink r:id="rId17" w:history="1">
        <w:r w:rsidRPr="00087A93">
          <w:rPr>
            <w:rStyle w:val="a5"/>
            <w:color w:val="auto"/>
            <w:u w:val="none"/>
          </w:rPr>
          <w:t>форме N 2</w:t>
        </w:r>
      </w:hyperlink>
      <w:r w:rsidRPr="00087A93">
        <w:t xml:space="preserve"> строка 140;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lastRenderedPageBreak/>
        <w:t>4) соотношения темпов роста выручки от продажи товаров, работ, услуг и</w:t>
      </w:r>
      <w:r>
        <w:t> </w:t>
      </w:r>
      <w:r w:rsidRPr="00087A93">
        <w:t>себестоимости продаж (недопущение опережающего роста себестоимости в</w:t>
      </w:r>
      <w:r>
        <w:t> </w:t>
      </w:r>
      <w:r w:rsidRPr="00087A93">
        <w:t xml:space="preserve">отчетном году и в последнем отчетном периоде) по </w:t>
      </w:r>
      <w:hyperlink r:id="rId18" w:history="1">
        <w:r w:rsidRPr="00087A93">
          <w:rPr>
            <w:rStyle w:val="a5"/>
            <w:color w:val="auto"/>
            <w:u w:val="none"/>
          </w:rPr>
          <w:t>форме N 2</w:t>
        </w:r>
      </w:hyperlink>
      <w:r w:rsidRPr="00087A93">
        <w:t xml:space="preserve"> частное от</w:t>
      </w:r>
      <w:r>
        <w:t> </w:t>
      </w:r>
      <w:r w:rsidRPr="00087A93">
        <w:t>значений строк 010 и 020;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5) дебиторской задолженности покупателей и заказчиков (ее снижение за отчетный год и на последнюю отчетную дату по сравнению с соответствующими периодами предшествующего года) по </w:t>
      </w:r>
      <w:hyperlink r:id="rId19" w:history="1">
        <w:r w:rsidRPr="00087A93">
          <w:rPr>
            <w:rStyle w:val="a5"/>
            <w:color w:val="auto"/>
            <w:u w:val="none"/>
          </w:rPr>
          <w:t>форме N 1</w:t>
        </w:r>
      </w:hyperlink>
      <w:r w:rsidRPr="00087A93">
        <w:t xml:space="preserve"> строка 241;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6) кредиторской задолженности поставщиков и подрядчиков (ее снижение за отчетный год и на последнюю отчетную дату по сравнению с</w:t>
      </w:r>
      <w:r>
        <w:t> </w:t>
      </w:r>
      <w:r w:rsidRPr="00087A93">
        <w:t xml:space="preserve">соответствующими периодами предшествующего года) по </w:t>
      </w:r>
      <w:hyperlink r:id="rId20" w:history="1">
        <w:r w:rsidRPr="00087A93">
          <w:rPr>
            <w:rStyle w:val="a5"/>
            <w:color w:val="auto"/>
            <w:u w:val="none"/>
          </w:rPr>
          <w:t>форме N 1</w:t>
        </w:r>
      </w:hyperlink>
      <w:r w:rsidRPr="00087A93">
        <w:t xml:space="preserve"> строка 621;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7) рентабельности продаж (ее увеличение в отчетном году и на последнюю отчетную дату по сравнению с соответствующими периодами предшествующего года) по </w:t>
      </w:r>
      <w:hyperlink r:id="rId21" w:history="1">
        <w:r w:rsidRPr="00087A93">
          <w:rPr>
            <w:rStyle w:val="a5"/>
            <w:color w:val="auto"/>
            <w:u w:val="none"/>
          </w:rPr>
          <w:t>форме N 2</w:t>
        </w:r>
      </w:hyperlink>
      <w:r w:rsidRPr="00087A93">
        <w:t xml:space="preserve"> частное от значения строк 050 и 020;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8) рентабельности основной деятельности (ее увеличение в отчетном году и на последнюю отчетную дату по сравнению с соответствующими периодами предшествующего года) по </w:t>
      </w:r>
      <w:hyperlink r:id="rId22" w:history="1">
        <w:r w:rsidRPr="00087A93">
          <w:rPr>
            <w:rStyle w:val="a5"/>
            <w:color w:val="auto"/>
            <w:u w:val="none"/>
          </w:rPr>
          <w:t>форме N 2</w:t>
        </w:r>
      </w:hyperlink>
      <w:r w:rsidRPr="00087A93">
        <w:t xml:space="preserve"> частное от значения строк 050 и 010;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9) коэффициента текущей ликвидности (его соответствие нормативному значению) по </w:t>
      </w:r>
      <w:hyperlink r:id="rId23" w:history="1">
        <w:r w:rsidRPr="00087A93">
          <w:rPr>
            <w:rStyle w:val="a5"/>
            <w:color w:val="auto"/>
            <w:u w:val="none"/>
          </w:rPr>
          <w:t>форме N 1</w:t>
        </w:r>
      </w:hyperlink>
      <w:r w:rsidRPr="00087A93">
        <w:t xml:space="preserve"> частное от значения строки 290 и разности значений строк 690, 640, 650, 660;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10) капитала на последнюю отчетную дату по </w:t>
      </w:r>
      <w:hyperlink r:id="rId24" w:history="1">
        <w:r w:rsidRPr="00087A93">
          <w:rPr>
            <w:rStyle w:val="a5"/>
            <w:color w:val="auto"/>
            <w:u w:val="none"/>
          </w:rPr>
          <w:t>форме N 1</w:t>
        </w:r>
      </w:hyperlink>
      <w:r w:rsidRPr="00087A93">
        <w:t xml:space="preserve"> строка 490 (используется в расчете рекомендуемого объема предоставляемой гарантии).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6. Показатели, указанные в </w:t>
      </w:r>
      <w:hyperlink r:id="rId25" w:history="1">
        <w:r w:rsidRPr="00087A93">
          <w:rPr>
            <w:rStyle w:val="a5"/>
            <w:color w:val="auto"/>
            <w:u w:val="none"/>
          </w:rPr>
          <w:t>подпунктах 1</w:t>
        </w:r>
      </w:hyperlink>
      <w:r w:rsidRPr="00087A93">
        <w:t xml:space="preserve"> - </w:t>
      </w:r>
      <w:hyperlink r:id="rId26" w:history="1">
        <w:r w:rsidRPr="00087A93">
          <w:rPr>
            <w:rStyle w:val="a5"/>
            <w:color w:val="auto"/>
            <w:u w:val="none"/>
          </w:rPr>
          <w:t>6 пункта 5</w:t>
        </w:r>
      </w:hyperlink>
      <w:r w:rsidRPr="00087A93">
        <w:t xml:space="preserve"> настоящего Порядка, оцениваются с точки зрения динамики их изменения за отчетный год и</w:t>
      </w:r>
      <w:r>
        <w:t> </w:t>
      </w:r>
      <w:r w:rsidRPr="00087A93">
        <w:t>в</w:t>
      </w:r>
      <w:r>
        <w:t> </w:t>
      </w:r>
      <w:r w:rsidRPr="00087A93">
        <w:t>последнем отчетном периоде текущего года по отношению к аналогичным периодам предшествующего года. Показатель признается имеющим позитивную (негативную) динамику, если изменение его значения составляет 0,03 и более. Если изменение значения показателя составляет менее 0,03, то он признается показателем с нулевой динамикой.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В случае если показатель имеет: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1) позитивную ди</w:t>
      </w:r>
      <w:r>
        <w:t>намику, ему присваивается балл «+2»</w:t>
      </w:r>
      <w:r w:rsidRPr="00087A93">
        <w:t>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2) нулевую ди</w:t>
      </w:r>
      <w:r>
        <w:t>намику, ему присваивается балл «+1»</w:t>
      </w:r>
      <w:r w:rsidRPr="00087A93">
        <w:t>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3) негативную ди</w:t>
      </w:r>
      <w:r>
        <w:t>намику, ему присваивается балл «0»</w:t>
      </w:r>
      <w:r w:rsidRPr="00087A93">
        <w:t>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В случае если при проведении анализа финансового состояния показатели за предшествующий период в </w:t>
      </w:r>
      <w:hyperlink r:id="rId27" w:history="1">
        <w:r w:rsidRPr="00087A93">
          <w:rPr>
            <w:rStyle w:val="a5"/>
            <w:color w:val="auto"/>
            <w:u w:val="none"/>
          </w:rPr>
          <w:t>подпунктах 1</w:t>
        </w:r>
      </w:hyperlink>
      <w:r w:rsidRPr="00087A93">
        <w:t xml:space="preserve">, </w:t>
      </w:r>
      <w:hyperlink r:id="rId28" w:history="1">
        <w:r w:rsidRPr="00087A93">
          <w:rPr>
            <w:rStyle w:val="a5"/>
            <w:color w:val="auto"/>
            <w:u w:val="none"/>
          </w:rPr>
          <w:t>2</w:t>
        </w:r>
      </w:hyperlink>
      <w:r w:rsidRPr="00087A93">
        <w:t xml:space="preserve">, </w:t>
      </w:r>
      <w:hyperlink r:id="rId29" w:history="1">
        <w:r w:rsidRPr="00087A93">
          <w:rPr>
            <w:rStyle w:val="a5"/>
            <w:color w:val="auto"/>
            <w:u w:val="none"/>
          </w:rPr>
          <w:t>3 пункта 5</w:t>
        </w:r>
      </w:hyperlink>
      <w:r w:rsidRPr="00087A93">
        <w:t xml:space="preserve"> настоящего Порядка имели нулевые значения, та</w:t>
      </w:r>
      <w:r>
        <w:t>кие показатели оцениваются как «0»</w:t>
      </w:r>
      <w:r w:rsidRPr="00087A93">
        <w:t xml:space="preserve"> баллов.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Показатели 7, 8 при поз</w:t>
      </w:r>
      <w:r>
        <w:t>итивной динамике оцениваются в «1,5»</w:t>
      </w:r>
      <w:r w:rsidRPr="00087A93">
        <w:t xml:space="preserve"> балла, при нег</w:t>
      </w:r>
      <w:r>
        <w:t>ативной динамике оцениваются в «0,5»</w:t>
      </w:r>
      <w:r w:rsidRPr="00087A93">
        <w:t xml:space="preserve"> балла.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Показатель 9 оценивается на соответствие нормативному значению: больше или</w:t>
      </w:r>
      <w:r>
        <w:t xml:space="preserve"> равно нормативу оценивается в «3» балла, меньше норматива – «0»</w:t>
      </w:r>
      <w:r w:rsidRPr="00087A93">
        <w:t xml:space="preserve"> баллов. Н</w:t>
      </w:r>
      <w:r>
        <w:t>ормативное значение показателя «коэффициент текущей ликвидности»</w:t>
      </w:r>
      <w:r w:rsidRPr="00087A93">
        <w:t xml:space="preserve"> равно 1.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Показатель, указанный в </w:t>
      </w:r>
      <w:hyperlink r:id="rId30" w:history="1">
        <w:r w:rsidRPr="00087A93">
          <w:rPr>
            <w:rStyle w:val="a5"/>
            <w:color w:val="auto"/>
            <w:u w:val="none"/>
          </w:rPr>
          <w:t>подпункте 10 пункта 5</w:t>
        </w:r>
      </w:hyperlink>
      <w:r w:rsidRPr="00087A93">
        <w:t xml:space="preserve"> настоящего Порядка, используется в расчете рекомендуемого объема предоставляемой </w:t>
      </w:r>
      <w:r w:rsidRPr="00087A93">
        <w:lastRenderedPageBreak/>
        <w:t>муниципальной гарантии Североуральского городского округа и в баллах не оценивается.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7. Финансовое состояние принципала признается неудовлетворительным в</w:t>
      </w:r>
      <w:r>
        <w:t> </w:t>
      </w:r>
      <w:r w:rsidRPr="00087A93">
        <w:t xml:space="preserve">случае, если принципал признан не имеющим достаточных финансовых ресурсов для обеспечения своей платежеспособности (в соответствии с </w:t>
      </w:r>
      <w:hyperlink r:id="rId31" w:history="1">
        <w:r w:rsidRPr="00087A93">
          <w:rPr>
            <w:rStyle w:val="a5"/>
            <w:color w:val="auto"/>
            <w:u w:val="none"/>
          </w:rPr>
          <w:t>пунктом 4</w:t>
        </w:r>
      </w:hyperlink>
      <w:r w:rsidRPr="00087A93">
        <w:t xml:space="preserve"> настоящего Порядка) либо общий балл значений показателей, указанных в</w:t>
      </w:r>
      <w:r>
        <w:t> </w:t>
      </w:r>
      <w:hyperlink r:id="rId32" w:history="1">
        <w:r w:rsidRPr="00087A93">
          <w:rPr>
            <w:rStyle w:val="a5"/>
            <w:color w:val="auto"/>
            <w:u w:val="none"/>
          </w:rPr>
          <w:t>подпунктах 1</w:t>
        </w:r>
      </w:hyperlink>
      <w:r w:rsidRPr="00087A93">
        <w:t xml:space="preserve"> - </w:t>
      </w:r>
      <w:hyperlink r:id="rId33" w:history="1">
        <w:r w:rsidRPr="00087A93">
          <w:rPr>
            <w:rStyle w:val="a5"/>
            <w:color w:val="auto"/>
            <w:u w:val="none"/>
          </w:rPr>
          <w:t>9 пункта 5</w:t>
        </w:r>
      </w:hyperlink>
      <w:r w:rsidRPr="00087A93">
        <w:t xml:space="preserve"> настояще</w:t>
      </w:r>
      <w:r>
        <w:t>го Порядка составляет «11»</w:t>
      </w:r>
      <w:r w:rsidRPr="00087A93">
        <w:t xml:space="preserve"> или менее баллов в один из оцениваемых периодов.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8. На основании результатов анализа финансового состояния отделом прогнозирования доходов составляется проект заключения о финансовом состоянии принципала, содержащий рекомендацию о предоставлении (</w:t>
      </w:r>
      <w:proofErr w:type="spellStart"/>
      <w:r w:rsidRPr="00087A93">
        <w:t>непредоставлении</w:t>
      </w:r>
      <w:proofErr w:type="spellEnd"/>
      <w:r w:rsidRPr="00087A93">
        <w:t>) муниципальной гарантии Североуральского городского округа.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9. В проект заключения о финансовом состоянии принципала включаются рекомендации о </w:t>
      </w:r>
      <w:proofErr w:type="spellStart"/>
      <w:r w:rsidRPr="00087A93">
        <w:t>непредоставлении</w:t>
      </w:r>
      <w:proofErr w:type="spellEnd"/>
      <w:r w:rsidRPr="00087A93">
        <w:t xml:space="preserve"> муниципальной гарантии Североуральского городского округа при наличии хотя бы одного из следующих условий: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1) финансовое состояние принципала признано неудовлетворительным в</w:t>
      </w:r>
      <w:r>
        <w:t> </w:t>
      </w:r>
      <w:r w:rsidRPr="00087A93">
        <w:t xml:space="preserve">соответствии с </w:t>
      </w:r>
      <w:hyperlink r:id="rId34" w:history="1">
        <w:r w:rsidRPr="00087A93">
          <w:rPr>
            <w:rStyle w:val="a5"/>
            <w:color w:val="auto"/>
            <w:u w:val="none"/>
          </w:rPr>
          <w:t>пунктом 7</w:t>
        </w:r>
      </w:hyperlink>
      <w:r w:rsidRPr="00087A93">
        <w:t xml:space="preserve"> настоящего Порядка;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2) величина капитала принципала на последнюю отчетную дату составляет менее 100% от общего объема предоставляемой муниципальной гарантии Североуральского городского округа;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3) величина капитала принципала на последнюю отчетную дату отрицательна или менее уставного капитала общества;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4) данные бухгалтерского учета не подтверждены аудиторским заключением, либо такое заключение отсутствует;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5) представленные принципалом сведения содержат недостоверную информацию.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 xml:space="preserve">При отсутствии условий, указанных в </w:t>
      </w:r>
      <w:hyperlink r:id="rId35" w:history="1">
        <w:r w:rsidRPr="00087A93">
          <w:rPr>
            <w:rStyle w:val="a5"/>
            <w:color w:val="auto"/>
            <w:u w:val="none"/>
          </w:rPr>
          <w:t>части первой</w:t>
        </w:r>
      </w:hyperlink>
      <w:r w:rsidRPr="00087A93">
        <w:t xml:space="preserve"> настоящего пункта, в</w:t>
      </w:r>
      <w:r>
        <w:t> </w:t>
      </w:r>
      <w:r w:rsidRPr="00087A93">
        <w:t>проект заключения о финансовом состоянии принципала включается рекомендация о предоставлении муниципальной гарантии Североуральского городского округа.</w:t>
      </w:r>
    </w:p>
    <w:p w:rsidR="00087A93" w:rsidRPr="00087A93" w:rsidRDefault="00087A93" w:rsidP="00087A93">
      <w:pPr>
        <w:adjustRightInd w:val="0"/>
        <w:ind w:firstLine="709"/>
        <w:jc w:val="both"/>
      </w:pPr>
      <w:r w:rsidRPr="00087A93">
        <w:t>Проект заключения подписывается начальником Финансового управления Администрации Североуральского городского округа.</w:t>
      </w:r>
    </w:p>
    <w:p w:rsidR="00087A93" w:rsidRPr="00087A93" w:rsidRDefault="00087A93" w:rsidP="00087A93">
      <w:pPr>
        <w:adjustRightInd w:val="0"/>
        <w:ind w:firstLine="709"/>
        <w:jc w:val="both"/>
        <w:rPr>
          <w:rFonts w:ascii="Times New Roman" w:hAnsi="Times New Roman"/>
        </w:rPr>
      </w:pPr>
      <w:r w:rsidRPr="00087A93">
        <w:t>10. Документы, представленные принципалом в Финансовое управление Администрации Североуральского городского округа в соответствии с</w:t>
      </w:r>
      <w:r>
        <w:t> </w:t>
      </w:r>
      <w:r w:rsidRPr="00087A93">
        <w:t>настоящим Порядком, не возвращаются.</w:t>
      </w:r>
    </w:p>
    <w:p w:rsidR="00087A93" w:rsidRDefault="00087A93" w:rsidP="00087A93">
      <w:pPr>
        <w:ind w:firstLine="709"/>
        <w:rPr>
          <w:szCs w:val="28"/>
        </w:rPr>
      </w:pPr>
    </w:p>
    <w:sectPr w:rsidR="00087A93" w:rsidSect="00474BAB">
      <w:headerReference w:type="default" r:id="rId36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24" w:rsidRDefault="00303824" w:rsidP="00087A93">
      <w:r>
        <w:separator/>
      </w:r>
    </w:p>
  </w:endnote>
  <w:endnote w:type="continuationSeparator" w:id="0">
    <w:p w:rsidR="00303824" w:rsidRDefault="00303824" w:rsidP="0008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24" w:rsidRDefault="00303824" w:rsidP="00087A93">
      <w:r>
        <w:separator/>
      </w:r>
    </w:p>
  </w:footnote>
  <w:footnote w:type="continuationSeparator" w:id="0">
    <w:p w:rsidR="00303824" w:rsidRDefault="00303824" w:rsidP="0008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06610"/>
      <w:docPartObj>
        <w:docPartGallery w:val="Page Numbers (Top of Page)"/>
        <w:docPartUnique/>
      </w:docPartObj>
    </w:sdtPr>
    <w:sdtContent>
      <w:p w:rsidR="00087A93" w:rsidRDefault="00087A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AB">
          <w:rPr>
            <w:noProof/>
          </w:rPr>
          <w:t>5</w:t>
        </w:r>
        <w:r>
          <w:fldChar w:fldCharType="end"/>
        </w:r>
      </w:p>
    </w:sdtContent>
  </w:sdt>
  <w:p w:rsidR="00087A93" w:rsidRDefault="00087A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7A93"/>
    <w:rsid w:val="00217E09"/>
    <w:rsid w:val="002E4E81"/>
    <w:rsid w:val="00303824"/>
    <w:rsid w:val="00421C4B"/>
    <w:rsid w:val="00474BA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87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7A9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7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7A93"/>
  </w:style>
  <w:style w:type="paragraph" w:styleId="a8">
    <w:name w:val="footer"/>
    <w:basedOn w:val="a"/>
    <w:link w:val="a9"/>
    <w:uiPriority w:val="99"/>
    <w:unhideWhenUsed/>
    <w:rsid w:val="00087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3FE3EB571C7A558FEE455695237C1534C58942C50FDB1458446B7237EA1DAA7441388192634154D575E48b9I" TargetMode="External"/><Relationship Id="rId13" Type="http://schemas.openxmlformats.org/officeDocument/2006/relationships/hyperlink" Target="consultantplus://offline/ref=9623FE3EB571C7A558FEFA587F3E69CB534701902351F2E11FDB1DEA7477AB8DE00B4ACA5D2B371544bFI" TargetMode="External"/><Relationship Id="rId18" Type="http://schemas.openxmlformats.org/officeDocument/2006/relationships/hyperlink" Target="consultantplus://offline/ref=9623FE3EB571C7A558FEFA587F3E69CB534701902351F2E11FDB1DEA7477AB8DE00B4ACA5D2B341044b4I" TargetMode="External"/><Relationship Id="rId26" Type="http://schemas.openxmlformats.org/officeDocument/2006/relationships/hyperlink" Target="consultantplus://offline/ref=9623FE3EB571C7A558FEE455695237C1534C58942C50FDB1458446B7237EA1DAA7441388192634154D575C48b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23FE3EB571C7A558FEFA587F3E69CB534701902351F2E11FDB1DEA7477AB8DE00B4ACA5D2B341044b4I" TargetMode="External"/><Relationship Id="rId34" Type="http://schemas.openxmlformats.org/officeDocument/2006/relationships/hyperlink" Target="consultantplus://offline/ref=9623FE3EB571C7A558FEE455695237C1534C58942C50FDB1458446B7237EA1DAA7441388192634154D575A48b8I" TargetMode="External"/><Relationship Id="rId7" Type="http://schemas.openxmlformats.org/officeDocument/2006/relationships/hyperlink" Target="consultantplus://offline/ref=9623FE3EB571C7A558FEE455695237C1534C58942C50FDB1458446B7237EA1DAA7441388192634154D575E48b9I" TargetMode="External"/><Relationship Id="rId12" Type="http://schemas.openxmlformats.org/officeDocument/2006/relationships/hyperlink" Target="consultantplus://offline/ref=9623FE3EB571C7A558FEFA587F3E69CB534701902351F2E11FDB1DEA7477AB8DE00B4ACA5D2B371544bFI" TargetMode="External"/><Relationship Id="rId17" Type="http://schemas.openxmlformats.org/officeDocument/2006/relationships/hyperlink" Target="consultantplus://offline/ref=9623FE3EB571C7A558FEFA587F3E69CB534701902351F2E11FDB1DEA7477AB8DE00B4ACA5D2B341044b4I" TargetMode="External"/><Relationship Id="rId25" Type="http://schemas.openxmlformats.org/officeDocument/2006/relationships/hyperlink" Target="consultantplus://offline/ref=9623FE3EB571C7A558FEE455695237C1534C58942C50FDB1458446B7237EA1DAA7441388192634154D575C48b9I" TargetMode="External"/><Relationship Id="rId33" Type="http://schemas.openxmlformats.org/officeDocument/2006/relationships/hyperlink" Target="consultantplus://offline/ref=9623FE3EB571C7A558FEE455695237C1534C58942C50FDB1458446B7237EA1DAA7441388192634154D575C48b1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23FE3EB571C7A558FEFA587F3E69CB534701902351F2E11FDB1DEA7477AB8DE00B4ACA5D2B341044b4I" TargetMode="External"/><Relationship Id="rId20" Type="http://schemas.openxmlformats.org/officeDocument/2006/relationships/hyperlink" Target="consultantplus://offline/ref=9623FE3EB571C7A558FEFA587F3E69CB534701902351F2E11FDB1DEA7477AB8DE00B4ACA5D2B351244bEI" TargetMode="External"/><Relationship Id="rId29" Type="http://schemas.openxmlformats.org/officeDocument/2006/relationships/hyperlink" Target="consultantplus://offline/ref=9623FE3EB571C7A558FEE455695237C1534C58942C50FDB1458446B7237EA1DAA7441388192634154D575C48bB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623FE3EB571C7A558FEFA587F3E69CB534701902351F2E11FDB1DEA7477AB8DE00B4ACA5D2B341244bBI" TargetMode="External"/><Relationship Id="rId24" Type="http://schemas.openxmlformats.org/officeDocument/2006/relationships/hyperlink" Target="consultantplus://offline/ref=9623FE3EB571C7A558FEFA587F3E69CB534701902351F2E11FDB1DEA7477AB8DE00B4ACA5D2B351244bEI" TargetMode="External"/><Relationship Id="rId32" Type="http://schemas.openxmlformats.org/officeDocument/2006/relationships/hyperlink" Target="consultantplus://offline/ref=9623FE3EB571C7A558FEE455695237C1534C58942C50FDB1458446B7237EA1DAA7441388192634154D575C48b9I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623FE3EB571C7A558FEFA587F3E69CB534701902351F2E11FDB1DEA7477AB8DE00B4ACA5D2B341044b4I" TargetMode="External"/><Relationship Id="rId23" Type="http://schemas.openxmlformats.org/officeDocument/2006/relationships/hyperlink" Target="consultantplus://offline/ref=9623FE3EB571C7A558FEFA587F3E69CB534701902351F2E11FDB1DEA7477AB8DE00B4ACA5D2B351244bEI" TargetMode="External"/><Relationship Id="rId28" Type="http://schemas.openxmlformats.org/officeDocument/2006/relationships/hyperlink" Target="consultantplus://offline/ref=9623FE3EB571C7A558FEE455695237C1534C58942C50FDB1458446B7237EA1DAA7441388192634154D575C48bA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9623FE3EB571C7A558FEFA587F3E69CB534701902351F2E11FDB1DEA7477AB8DE00B4ACA5D2B341044b4I" TargetMode="External"/><Relationship Id="rId19" Type="http://schemas.openxmlformats.org/officeDocument/2006/relationships/hyperlink" Target="consultantplus://offline/ref=9623FE3EB571C7A558FEFA587F3E69CB534701902351F2E11FDB1DEA7477AB8DE00B4ACA5D2B351244bEI" TargetMode="External"/><Relationship Id="rId31" Type="http://schemas.openxmlformats.org/officeDocument/2006/relationships/hyperlink" Target="consultantplus://offline/ref=9623FE3EB571C7A558FEE455695237C1534C58942C50FDB1458446B7237EA1DAA7441388192634154D575D48b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23FE3EB571C7A558FEFA587F3E69CB534701902351F2E11FDB1DEA7477AB8DE00B4ACA5D2B351244bEI" TargetMode="External"/><Relationship Id="rId14" Type="http://schemas.openxmlformats.org/officeDocument/2006/relationships/hyperlink" Target="consultantplus://offline/ref=9623FE3EB571C7A558FEFA587F3E69CB534701902351F2E11FDB1DEA7477AB8DE00B4ACA5D2B371544bFI" TargetMode="External"/><Relationship Id="rId22" Type="http://schemas.openxmlformats.org/officeDocument/2006/relationships/hyperlink" Target="consultantplus://offline/ref=9623FE3EB571C7A558FEFA587F3E69CB534701902351F2E11FDB1DEA7477AB8DE00B4ACA5D2B341044b4I" TargetMode="External"/><Relationship Id="rId27" Type="http://schemas.openxmlformats.org/officeDocument/2006/relationships/hyperlink" Target="consultantplus://offline/ref=9623FE3EB571C7A558FEE455695237C1534C58942C50FDB1458446B7237EA1DAA7441388192634154D575C48b9I" TargetMode="External"/><Relationship Id="rId30" Type="http://schemas.openxmlformats.org/officeDocument/2006/relationships/hyperlink" Target="consultantplus://offline/ref=9623FE3EB571C7A558FEE455695237C1534C58942C50FDB1458446B7237EA1DAA7441388192634154D575B48b8I" TargetMode="External"/><Relationship Id="rId35" Type="http://schemas.openxmlformats.org/officeDocument/2006/relationships/hyperlink" Target="consultantplus://offline/ref=9623FE3EB571C7A558FEE455695237C1534C58942C50FDB1458446B7237EA1DAA7441388192634154D575A48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2020-01-16T06:35:00Z</cp:lastPrinted>
  <dcterms:created xsi:type="dcterms:W3CDTF">2014-04-14T10:25:00Z</dcterms:created>
  <dcterms:modified xsi:type="dcterms:W3CDTF">2020-01-16T06:37:00Z</dcterms:modified>
</cp:coreProperties>
</file>